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30D4" w:rsidRDefault="000F30D4" w:rsidP="000F30D4">
      <w:pPr>
        <w:jc w:val="center"/>
        <w:rPr>
          <w:b/>
          <w:sz w:val="28"/>
          <w:szCs w:val="28"/>
        </w:rPr>
      </w:pPr>
    </w:p>
    <w:p w:rsidR="000F30D4" w:rsidRPr="00AC6D65" w:rsidRDefault="000F30D4" w:rsidP="000F30D4">
      <w:pPr>
        <w:jc w:val="center"/>
        <w:rPr>
          <w:rFonts w:asciiTheme="majorHAnsi" w:hAnsiTheme="majorHAnsi" w:cstheme="majorHAnsi"/>
          <w:b/>
          <w:sz w:val="28"/>
          <w:szCs w:val="28"/>
        </w:rPr>
      </w:pPr>
      <w:r w:rsidRPr="00AC6D65">
        <w:rPr>
          <w:rFonts w:asciiTheme="majorHAnsi" w:hAnsiTheme="majorHAnsi" w:cstheme="majorHAnsi"/>
          <w:b/>
          <w:sz w:val="28"/>
          <w:szCs w:val="28"/>
        </w:rPr>
        <w:t>Carl D. Perkins Grant</w:t>
      </w:r>
    </w:p>
    <w:p w:rsidR="000F30D4" w:rsidRDefault="000F30D4" w:rsidP="000F30D4">
      <w:pPr>
        <w:jc w:val="center"/>
        <w:rPr>
          <w:rFonts w:asciiTheme="majorHAnsi" w:hAnsiTheme="majorHAnsi" w:cstheme="majorHAnsi"/>
          <w:b/>
          <w:sz w:val="22"/>
          <w:szCs w:val="22"/>
        </w:rPr>
      </w:pPr>
      <w:r>
        <w:rPr>
          <w:rFonts w:asciiTheme="majorHAnsi" w:hAnsiTheme="majorHAnsi" w:cstheme="majorHAnsi"/>
          <w:b/>
          <w:sz w:val="22"/>
          <w:szCs w:val="22"/>
        </w:rPr>
        <w:t xml:space="preserve">Funding </w:t>
      </w:r>
      <w:r>
        <w:rPr>
          <w:rFonts w:asciiTheme="majorHAnsi" w:hAnsiTheme="majorHAnsi" w:cstheme="majorHAnsi"/>
          <w:b/>
          <w:sz w:val="22"/>
          <w:szCs w:val="22"/>
        </w:rPr>
        <w:t>Overview</w:t>
      </w:r>
    </w:p>
    <w:p w:rsidR="000F30D4" w:rsidRDefault="000F30D4" w:rsidP="000F30D4">
      <w:pPr>
        <w:rPr>
          <w:rFonts w:asciiTheme="majorHAnsi" w:hAnsiTheme="majorHAnsi" w:cstheme="majorHAnsi"/>
          <w:b/>
          <w:sz w:val="22"/>
          <w:szCs w:val="22"/>
        </w:rPr>
      </w:pPr>
    </w:p>
    <w:p w:rsidR="000F30D4" w:rsidRDefault="000F30D4" w:rsidP="000F30D4">
      <w:pPr>
        <w:rPr>
          <w:rFonts w:asciiTheme="majorHAnsi" w:hAnsiTheme="majorHAnsi" w:cstheme="majorHAnsi"/>
          <w:b/>
          <w:sz w:val="22"/>
          <w:szCs w:val="22"/>
        </w:rPr>
      </w:pPr>
      <w:r>
        <w:rPr>
          <w:rFonts w:asciiTheme="majorHAnsi" w:hAnsiTheme="majorHAnsi" w:cstheme="majorHAnsi"/>
          <w:b/>
          <w:sz w:val="22"/>
          <w:szCs w:val="22"/>
        </w:rPr>
        <w:t>TABLE OF CONTENTS</w:t>
      </w:r>
    </w:p>
    <w:p w:rsidR="000F30D4" w:rsidRPr="001C73EB" w:rsidRDefault="000F30D4" w:rsidP="000F30D4">
      <w:pPr>
        <w:pStyle w:val="ListParagraph"/>
        <w:numPr>
          <w:ilvl w:val="0"/>
          <w:numId w:val="4"/>
        </w:numPr>
        <w:rPr>
          <w:rFonts w:asciiTheme="majorHAnsi" w:hAnsiTheme="majorHAnsi" w:cstheme="majorHAnsi"/>
          <w:sz w:val="22"/>
          <w:szCs w:val="22"/>
        </w:rPr>
      </w:pPr>
      <w:r w:rsidRPr="001C73EB">
        <w:rPr>
          <w:rFonts w:asciiTheme="majorHAnsi" w:hAnsiTheme="majorHAnsi" w:cstheme="majorHAnsi"/>
          <w:sz w:val="22"/>
          <w:szCs w:val="22"/>
        </w:rPr>
        <w:t>O</w:t>
      </w:r>
      <w:r>
        <w:rPr>
          <w:rFonts w:asciiTheme="majorHAnsi" w:hAnsiTheme="majorHAnsi" w:cstheme="majorHAnsi"/>
          <w:sz w:val="22"/>
          <w:szCs w:val="22"/>
        </w:rPr>
        <w:t>verview</w:t>
      </w:r>
    </w:p>
    <w:p w:rsidR="000F30D4" w:rsidRPr="001C73EB" w:rsidRDefault="000F30D4" w:rsidP="000F30D4">
      <w:pPr>
        <w:pStyle w:val="ListParagraph"/>
        <w:numPr>
          <w:ilvl w:val="0"/>
          <w:numId w:val="4"/>
        </w:numPr>
        <w:rPr>
          <w:rFonts w:asciiTheme="majorHAnsi" w:hAnsiTheme="majorHAnsi" w:cstheme="majorHAnsi"/>
          <w:sz w:val="22"/>
          <w:szCs w:val="22"/>
        </w:rPr>
      </w:pPr>
      <w:r>
        <w:rPr>
          <w:rFonts w:asciiTheme="majorHAnsi" w:hAnsiTheme="majorHAnsi" w:cstheme="majorHAnsi"/>
          <w:sz w:val="22"/>
          <w:szCs w:val="22"/>
        </w:rPr>
        <w:t>Funding Prioritization</w:t>
      </w:r>
    </w:p>
    <w:p w:rsidR="000F30D4" w:rsidRPr="001C73EB" w:rsidRDefault="000F30D4" w:rsidP="000F30D4">
      <w:pPr>
        <w:pStyle w:val="ListParagraph"/>
        <w:numPr>
          <w:ilvl w:val="0"/>
          <w:numId w:val="4"/>
        </w:numPr>
        <w:rPr>
          <w:rFonts w:asciiTheme="majorHAnsi" w:hAnsiTheme="majorHAnsi" w:cstheme="majorHAnsi"/>
          <w:sz w:val="22"/>
          <w:szCs w:val="22"/>
        </w:rPr>
      </w:pPr>
      <w:r>
        <w:rPr>
          <w:rFonts w:asciiTheme="majorHAnsi" w:hAnsiTheme="majorHAnsi" w:cstheme="majorHAnsi"/>
          <w:sz w:val="22"/>
          <w:szCs w:val="22"/>
        </w:rPr>
        <w:t>Perkins Requirements for Use of Funds</w:t>
      </w:r>
    </w:p>
    <w:p w:rsidR="000F30D4" w:rsidRPr="001C73EB" w:rsidRDefault="000F30D4" w:rsidP="000F30D4">
      <w:pPr>
        <w:pStyle w:val="ListParagraph"/>
        <w:numPr>
          <w:ilvl w:val="0"/>
          <w:numId w:val="4"/>
        </w:numPr>
        <w:rPr>
          <w:rFonts w:asciiTheme="majorHAnsi" w:hAnsiTheme="majorHAnsi" w:cstheme="majorHAnsi"/>
          <w:smallCaps/>
          <w:sz w:val="22"/>
          <w:szCs w:val="22"/>
        </w:rPr>
      </w:pPr>
      <w:r>
        <w:rPr>
          <w:rFonts w:asciiTheme="majorHAnsi" w:hAnsiTheme="majorHAnsi" w:cstheme="majorHAnsi"/>
          <w:smallCaps/>
          <w:sz w:val="22"/>
          <w:szCs w:val="22"/>
        </w:rPr>
        <w:t>F</w:t>
      </w:r>
      <w:r>
        <w:rPr>
          <w:rFonts w:asciiTheme="majorHAnsi" w:hAnsiTheme="majorHAnsi" w:cstheme="majorHAnsi"/>
          <w:sz w:val="22"/>
          <w:szCs w:val="22"/>
        </w:rPr>
        <w:t xml:space="preserve">ederal </w:t>
      </w:r>
      <w:r w:rsidR="00D46F3E">
        <w:rPr>
          <w:rFonts w:asciiTheme="majorHAnsi" w:hAnsiTheme="majorHAnsi" w:cstheme="majorHAnsi"/>
          <w:sz w:val="22"/>
          <w:szCs w:val="22"/>
        </w:rPr>
        <w:t xml:space="preserve">Perkins Grant </w:t>
      </w:r>
      <w:r>
        <w:rPr>
          <w:rFonts w:asciiTheme="majorHAnsi" w:hAnsiTheme="majorHAnsi" w:cstheme="majorHAnsi"/>
          <w:sz w:val="22"/>
          <w:szCs w:val="22"/>
        </w:rPr>
        <w:t>Performance Measures</w:t>
      </w:r>
    </w:p>
    <w:p w:rsidR="000F30D4" w:rsidRDefault="000F30D4" w:rsidP="000F30D4">
      <w:pPr>
        <w:jc w:val="both"/>
        <w:rPr>
          <w:rFonts w:asciiTheme="majorHAnsi" w:hAnsiTheme="majorHAnsi" w:cstheme="majorHAnsi"/>
          <w:b/>
          <w:sz w:val="22"/>
          <w:szCs w:val="22"/>
        </w:rPr>
      </w:pPr>
    </w:p>
    <w:p w:rsidR="000F30D4" w:rsidRPr="00F679E4" w:rsidRDefault="000F30D4" w:rsidP="000F30D4">
      <w:pPr>
        <w:jc w:val="both"/>
        <w:rPr>
          <w:rFonts w:asciiTheme="majorHAnsi" w:hAnsiTheme="majorHAnsi" w:cstheme="majorHAnsi"/>
          <w:b/>
          <w:sz w:val="22"/>
          <w:szCs w:val="22"/>
        </w:rPr>
      </w:pPr>
      <w:r>
        <w:rPr>
          <w:rFonts w:asciiTheme="majorHAnsi" w:hAnsiTheme="majorHAnsi" w:cstheme="majorHAnsi"/>
          <w:b/>
          <w:sz w:val="22"/>
          <w:szCs w:val="22"/>
        </w:rPr>
        <w:t>OVERVIEW</w:t>
      </w:r>
    </w:p>
    <w:p w:rsidR="000F30D4" w:rsidRDefault="000F30D4" w:rsidP="000F30D4">
      <w:pPr>
        <w:jc w:val="both"/>
        <w:rPr>
          <w:rFonts w:asciiTheme="majorHAnsi" w:hAnsiTheme="majorHAnsi" w:cstheme="majorHAnsi"/>
          <w:sz w:val="22"/>
          <w:szCs w:val="22"/>
        </w:rPr>
      </w:pPr>
      <w:r w:rsidRPr="00D72219">
        <w:rPr>
          <w:rFonts w:asciiTheme="majorHAnsi" w:hAnsiTheme="majorHAnsi" w:cstheme="majorHAnsi"/>
          <w:b/>
          <w:bCs/>
          <w:sz w:val="22"/>
          <w:szCs w:val="22"/>
          <w:u w:val="single"/>
        </w:rPr>
        <w:t>Requests for funding should be based on the NEEDS of your program.</w:t>
      </w:r>
      <w:r w:rsidRPr="00D72219">
        <w:rPr>
          <w:rFonts w:asciiTheme="majorHAnsi" w:hAnsiTheme="majorHAnsi" w:cstheme="majorHAnsi"/>
          <w:sz w:val="22"/>
          <w:szCs w:val="22"/>
        </w:rPr>
        <w:t xml:space="preserve"> </w:t>
      </w:r>
      <w:r>
        <w:rPr>
          <w:rFonts w:asciiTheme="majorHAnsi" w:hAnsiTheme="majorHAnsi" w:cstheme="majorHAnsi"/>
          <w:sz w:val="22"/>
          <w:szCs w:val="22"/>
        </w:rPr>
        <w:t xml:space="preserve"> </w:t>
      </w:r>
      <w:r w:rsidRPr="00D72219">
        <w:rPr>
          <w:rFonts w:asciiTheme="majorHAnsi" w:hAnsiTheme="majorHAnsi" w:cstheme="majorHAnsi"/>
          <w:sz w:val="22"/>
          <w:szCs w:val="22"/>
        </w:rPr>
        <w:t>This is the opportunity to sell your program and how it will benefit the students you serve.  Remember, ‘What does your program NEED to be successful?’</w:t>
      </w:r>
    </w:p>
    <w:p w:rsidR="000F30D4" w:rsidRDefault="000F30D4" w:rsidP="000F30D4">
      <w:pPr>
        <w:jc w:val="both"/>
        <w:rPr>
          <w:rFonts w:asciiTheme="majorHAnsi" w:hAnsiTheme="majorHAnsi" w:cstheme="majorHAnsi"/>
          <w:sz w:val="22"/>
          <w:szCs w:val="22"/>
        </w:rPr>
      </w:pPr>
    </w:p>
    <w:p w:rsidR="000F30D4" w:rsidRDefault="000F30D4" w:rsidP="000F30D4">
      <w:pPr>
        <w:jc w:val="both"/>
        <w:rPr>
          <w:rFonts w:asciiTheme="majorHAnsi" w:hAnsiTheme="majorHAnsi" w:cstheme="majorHAnsi"/>
          <w:sz w:val="22"/>
          <w:szCs w:val="22"/>
        </w:rPr>
      </w:pPr>
      <w:r w:rsidRPr="00EE3536">
        <w:rPr>
          <w:rFonts w:asciiTheme="majorHAnsi" w:hAnsiTheme="majorHAnsi" w:cstheme="majorHAnsi"/>
          <w:sz w:val="22"/>
          <w:szCs w:val="22"/>
        </w:rPr>
        <w:t xml:space="preserve">We are strictly prohibited from using Perkins funding to pay for regular “cost of doing business” expenditures.  This is called supplanting.  As specified </w:t>
      </w:r>
      <w:r w:rsidR="004746B5">
        <w:rPr>
          <w:rFonts w:asciiTheme="majorHAnsi" w:hAnsiTheme="majorHAnsi" w:cstheme="majorHAnsi"/>
          <w:sz w:val="22"/>
          <w:szCs w:val="22"/>
        </w:rPr>
        <w:t>on the Funding Request form</w:t>
      </w:r>
      <w:r w:rsidRPr="00EE3536">
        <w:rPr>
          <w:rFonts w:asciiTheme="majorHAnsi" w:hAnsiTheme="majorHAnsi" w:cstheme="majorHAnsi"/>
          <w:sz w:val="22"/>
          <w:szCs w:val="22"/>
        </w:rPr>
        <w:t>, requests need to align with Perkins V criteria and (as applicable) with specifications provided by the Arizona Department of Education (ADE).</w:t>
      </w:r>
      <w:r>
        <w:rPr>
          <w:rFonts w:asciiTheme="majorHAnsi" w:hAnsiTheme="majorHAnsi" w:cstheme="majorHAnsi"/>
          <w:sz w:val="22"/>
          <w:szCs w:val="22"/>
        </w:rPr>
        <w:t xml:space="preserve">  </w:t>
      </w:r>
    </w:p>
    <w:p w:rsidR="000F30D4" w:rsidRDefault="000F30D4" w:rsidP="000F30D4">
      <w:pPr>
        <w:jc w:val="both"/>
        <w:rPr>
          <w:rFonts w:asciiTheme="majorHAnsi" w:hAnsiTheme="majorHAnsi" w:cstheme="majorHAnsi"/>
          <w:sz w:val="22"/>
          <w:szCs w:val="22"/>
        </w:rPr>
      </w:pPr>
    </w:p>
    <w:p w:rsidR="000F30D4" w:rsidRPr="00AC6D65" w:rsidRDefault="000F30D4" w:rsidP="000F30D4">
      <w:pPr>
        <w:jc w:val="both"/>
        <w:rPr>
          <w:rFonts w:asciiTheme="majorHAnsi" w:hAnsiTheme="majorHAnsi" w:cstheme="majorHAnsi"/>
          <w:sz w:val="22"/>
          <w:szCs w:val="22"/>
        </w:rPr>
      </w:pPr>
      <w:r w:rsidRPr="00D72219">
        <w:rPr>
          <w:rFonts w:asciiTheme="majorHAnsi" w:hAnsiTheme="majorHAnsi" w:cstheme="majorHAnsi"/>
          <w:b/>
          <w:bCs/>
          <w:sz w:val="22"/>
          <w:szCs w:val="22"/>
          <w:u w:val="single"/>
        </w:rPr>
        <w:t>ADE preferred uses:</w:t>
      </w:r>
    </w:p>
    <w:p w:rsidR="000F30D4" w:rsidRPr="0086486B" w:rsidRDefault="000F30D4" w:rsidP="000F30D4">
      <w:pPr>
        <w:numPr>
          <w:ilvl w:val="0"/>
          <w:numId w:val="1"/>
        </w:numPr>
        <w:textAlignment w:val="baseline"/>
        <w:rPr>
          <w:rFonts w:asciiTheme="majorHAnsi" w:hAnsiTheme="majorHAnsi" w:cstheme="majorHAnsi"/>
          <w:color w:val="000000"/>
          <w:sz w:val="22"/>
          <w:szCs w:val="22"/>
        </w:rPr>
      </w:pPr>
      <w:r w:rsidRPr="0086486B">
        <w:rPr>
          <w:rFonts w:asciiTheme="majorHAnsi" w:hAnsiTheme="majorHAnsi" w:cstheme="majorHAnsi"/>
          <w:color w:val="000000"/>
          <w:sz w:val="22"/>
          <w:szCs w:val="22"/>
        </w:rPr>
        <w:t>ADE favors Perkins V funding spent on specific program improvements and increasing program measures</w:t>
      </w:r>
      <w:r>
        <w:rPr>
          <w:rFonts w:asciiTheme="majorHAnsi" w:hAnsiTheme="majorHAnsi" w:cstheme="majorHAnsi"/>
          <w:color w:val="000000"/>
          <w:sz w:val="22"/>
          <w:szCs w:val="22"/>
        </w:rPr>
        <w:t xml:space="preserve">. </w:t>
      </w:r>
      <w:r w:rsidRPr="0086486B">
        <w:rPr>
          <w:rFonts w:asciiTheme="majorHAnsi" w:hAnsiTheme="majorHAnsi" w:cstheme="majorHAnsi"/>
          <w:color w:val="000000"/>
          <w:sz w:val="22"/>
          <w:szCs w:val="22"/>
        </w:rPr>
        <w:t>Plans may use funds for program supplies, equipment and professional development where demonstrated need and justification is provided.</w:t>
      </w:r>
    </w:p>
    <w:p w:rsidR="000F30D4" w:rsidRDefault="000F30D4" w:rsidP="000F30D4">
      <w:pPr>
        <w:numPr>
          <w:ilvl w:val="0"/>
          <w:numId w:val="2"/>
        </w:numPr>
        <w:textAlignment w:val="baseline"/>
        <w:rPr>
          <w:rFonts w:asciiTheme="majorHAnsi" w:hAnsiTheme="majorHAnsi" w:cstheme="majorHAnsi"/>
          <w:color w:val="000000"/>
          <w:sz w:val="22"/>
          <w:szCs w:val="22"/>
        </w:rPr>
      </w:pPr>
      <w:r w:rsidRPr="0086486B">
        <w:rPr>
          <w:rFonts w:asciiTheme="majorHAnsi" w:hAnsiTheme="majorHAnsi" w:cstheme="majorHAnsi"/>
          <w:color w:val="000000"/>
          <w:sz w:val="22"/>
          <w:szCs w:val="22"/>
        </w:rPr>
        <w:t>ADE prefers that Programs submitted for funding lead to a National/State licensure or certification. </w:t>
      </w:r>
    </w:p>
    <w:p w:rsidR="000F30D4" w:rsidRDefault="000F30D4" w:rsidP="000F30D4">
      <w:pPr>
        <w:textAlignment w:val="baseline"/>
        <w:rPr>
          <w:rFonts w:asciiTheme="majorHAnsi" w:hAnsiTheme="majorHAnsi" w:cstheme="majorHAnsi"/>
          <w:color w:val="000000"/>
          <w:sz w:val="22"/>
          <w:szCs w:val="22"/>
        </w:rPr>
      </w:pPr>
    </w:p>
    <w:p w:rsidR="000F30D4" w:rsidRDefault="000F30D4" w:rsidP="000F30D4">
      <w:pPr>
        <w:pBdr>
          <w:top w:val="nil"/>
          <w:left w:val="nil"/>
          <w:bottom w:val="nil"/>
          <w:right w:val="nil"/>
          <w:between w:val="nil"/>
        </w:pBdr>
        <w:rPr>
          <w:rFonts w:asciiTheme="majorHAnsi" w:hAnsiTheme="majorHAnsi" w:cstheme="majorHAnsi"/>
          <w:b/>
          <w:sz w:val="22"/>
          <w:szCs w:val="22"/>
        </w:rPr>
      </w:pPr>
      <w:r>
        <w:rPr>
          <w:rFonts w:asciiTheme="majorHAnsi" w:hAnsiTheme="majorHAnsi" w:cstheme="majorHAnsi"/>
          <w:b/>
          <w:sz w:val="22"/>
          <w:szCs w:val="22"/>
        </w:rPr>
        <w:t>FUNDING PRIORITIZATION</w:t>
      </w:r>
    </w:p>
    <w:p w:rsidR="000F30D4" w:rsidRDefault="000F30D4" w:rsidP="000F30D4">
      <w:pPr>
        <w:pStyle w:val="ListParagraph"/>
        <w:numPr>
          <w:ilvl w:val="0"/>
          <w:numId w:val="3"/>
        </w:numPr>
        <w:rPr>
          <w:rFonts w:asciiTheme="majorHAnsi" w:hAnsiTheme="majorHAnsi" w:cstheme="majorHAnsi"/>
          <w:sz w:val="22"/>
          <w:szCs w:val="22"/>
        </w:rPr>
      </w:pPr>
      <w:r w:rsidRPr="0021619A">
        <w:rPr>
          <w:rFonts w:asciiTheme="majorHAnsi" w:hAnsiTheme="majorHAnsi" w:cstheme="majorHAnsi"/>
          <w:sz w:val="22"/>
          <w:szCs w:val="22"/>
        </w:rPr>
        <w:t xml:space="preserve">The CTE Operations team (or designated sub-team) will review and provide recommendations as to the ranking of funding requests for MCC Perkins Grant Planning.  </w:t>
      </w:r>
    </w:p>
    <w:p w:rsidR="000F30D4" w:rsidRDefault="000F30D4" w:rsidP="000F30D4">
      <w:pPr>
        <w:pStyle w:val="ListParagraph"/>
        <w:numPr>
          <w:ilvl w:val="0"/>
          <w:numId w:val="3"/>
        </w:numPr>
        <w:rPr>
          <w:rFonts w:asciiTheme="majorHAnsi" w:hAnsiTheme="majorHAnsi" w:cstheme="majorHAnsi"/>
          <w:sz w:val="22"/>
          <w:szCs w:val="22"/>
        </w:rPr>
      </w:pPr>
      <w:r>
        <w:rPr>
          <w:rFonts w:asciiTheme="majorHAnsi" w:hAnsiTheme="majorHAnsi" w:cstheme="majorHAnsi"/>
          <w:sz w:val="22"/>
          <w:szCs w:val="22"/>
        </w:rPr>
        <w:t xml:space="preserve">The </w:t>
      </w:r>
      <w:r w:rsidRPr="0021619A">
        <w:rPr>
          <w:rFonts w:asciiTheme="majorHAnsi" w:hAnsiTheme="majorHAnsi" w:cstheme="majorHAnsi"/>
          <w:sz w:val="22"/>
          <w:szCs w:val="22"/>
        </w:rPr>
        <w:t xml:space="preserve">Perkins grant administrator </w:t>
      </w:r>
      <w:r>
        <w:rPr>
          <w:rFonts w:asciiTheme="majorHAnsi" w:hAnsiTheme="majorHAnsi" w:cstheme="majorHAnsi"/>
          <w:sz w:val="22"/>
          <w:szCs w:val="22"/>
        </w:rPr>
        <w:t xml:space="preserve">may amend the ranking of funding requests to ensuring funding priorities align with Perkins V criteria, ADE guidance, and MCC strategic direction.  </w:t>
      </w:r>
    </w:p>
    <w:p w:rsidR="000F30D4" w:rsidRDefault="000F30D4" w:rsidP="000F30D4">
      <w:pPr>
        <w:pStyle w:val="ListParagraph"/>
        <w:numPr>
          <w:ilvl w:val="0"/>
          <w:numId w:val="3"/>
        </w:numPr>
        <w:rPr>
          <w:rFonts w:asciiTheme="majorHAnsi" w:hAnsiTheme="majorHAnsi" w:cstheme="majorHAnsi"/>
          <w:sz w:val="22"/>
          <w:szCs w:val="22"/>
        </w:rPr>
      </w:pPr>
      <w:r>
        <w:rPr>
          <w:rFonts w:asciiTheme="majorHAnsi" w:hAnsiTheme="majorHAnsi" w:cstheme="majorHAnsi"/>
          <w:sz w:val="22"/>
          <w:szCs w:val="22"/>
        </w:rPr>
        <w:t>The Student and Academic Affairs Leadership Team (SAALT) will provide final review and approval of the MCC Perkins Grant Planning form.</w:t>
      </w:r>
    </w:p>
    <w:p w:rsidR="000F30D4" w:rsidRDefault="000F30D4" w:rsidP="000F30D4">
      <w:pPr>
        <w:rPr>
          <w:rFonts w:asciiTheme="majorHAnsi" w:hAnsiTheme="majorHAnsi" w:cstheme="majorHAnsi"/>
          <w:sz w:val="22"/>
          <w:szCs w:val="22"/>
        </w:rPr>
      </w:pPr>
    </w:p>
    <w:p w:rsidR="000F30D4" w:rsidRPr="00124043" w:rsidRDefault="000F30D4" w:rsidP="000F30D4">
      <w:pPr>
        <w:rPr>
          <w:rFonts w:asciiTheme="majorHAnsi" w:hAnsiTheme="majorHAnsi" w:cstheme="majorHAnsi"/>
          <w:sz w:val="22"/>
          <w:szCs w:val="22"/>
        </w:rPr>
      </w:pPr>
      <w:r w:rsidRPr="00124043">
        <w:rPr>
          <w:rFonts w:asciiTheme="majorHAnsi" w:hAnsiTheme="majorHAnsi" w:cstheme="majorHAnsi"/>
          <w:b/>
          <w:sz w:val="22"/>
          <w:szCs w:val="22"/>
        </w:rPr>
        <w:t>PERKINS REQUIREMENTS FOR USE OF FUNDS</w:t>
      </w:r>
    </w:p>
    <w:p w:rsidR="000F30D4" w:rsidRPr="00EE3536" w:rsidRDefault="000F30D4" w:rsidP="000F30D4">
      <w:pPr>
        <w:rPr>
          <w:rFonts w:asciiTheme="majorHAnsi" w:hAnsiTheme="majorHAnsi" w:cstheme="majorHAnsi"/>
          <w:sz w:val="22"/>
          <w:szCs w:val="22"/>
        </w:rPr>
      </w:pPr>
      <w:bookmarkStart w:id="0" w:name="_gjdgxs" w:colFirst="0" w:colLast="0"/>
      <w:bookmarkEnd w:id="0"/>
      <w:r w:rsidRPr="00AC6D65">
        <w:rPr>
          <w:rFonts w:asciiTheme="majorHAnsi" w:hAnsiTheme="majorHAnsi" w:cstheme="majorHAnsi"/>
          <w:sz w:val="22"/>
          <w:szCs w:val="22"/>
        </w:rPr>
        <w:t>The purpose of th</w:t>
      </w:r>
      <w:r>
        <w:rPr>
          <w:rFonts w:asciiTheme="majorHAnsi" w:hAnsiTheme="majorHAnsi" w:cstheme="majorHAnsi"/>
          <w:sz w:val="22"/>
          <w:szCs w:val="22"/>
        </w:rPr>
        <w:t>e</w:t>
      </w:r>
      <w:r w:rsidRPr="00AC6D65">
        <w:rPr>
          <w:rFonts w:asciiTheme="majorHAnsi" w:hAnsiTheme="majorHAnsi" w:cstheme="majorHAnsi"/>
          <w:sz w:val="22"/>
          <w:szCs w:val="22"/>
        </w:rPr>
        <w:t xml:space="preserve"> Carl D. Perkins Career and Technical Education Act of 2006 (amended and enacted as </w:t>
      </w:r>
      <w:hyperlink r:id="rId5" w:history="1">
        <w:r w:rsidRPr="004407AE">
          <w:rPr>
            <w:rStyle w:val="Hyperlink"/>
            <w:rFonts w:asciiTheme="majorHAnsi" w:hAnsiTheme="majorHAnsi" w:cstheme="majorHAnsi"/>
            <w:sz w:val="22"/>
            <w:szCs w:val="22"/>
          </w:rPr>
          <w:t>P</w:t>
        </w:r>
        <w:r w:rsidRPr="004407AE">
          <w:rPr>
            <w:rStyle w:val="Hyperlink"/>
            <w:rFonts w:asciiTheme="majorHAnsi" w:hAnsiTheme="majorHAnsi" w:cstheme="majorHAnsi"/>
            <w:sz w:val="22"/>
            <w:szCs w:val="22"/>
          </w:rPr>
          <w:t>e</w:t>
        </w:r>
        <w:r w:rsidRPr="004407AE">
          <w:rPr>
            <w:rStyle w:val="Hyperlink"/>
            <w:rFonts w:asciiTheme="majorHAnsi" w:hAnsiTheme="majorHAnsi" w:cstheme="majorHAnsi"/>
            <w:sz w:val="22"/>
            <w:szCs w:val="22"/>
          </w:rPr>
          <w:t>r</w:t>
        </w:r>
        <w:r w:rsidRPr="004407AE">
          <w:rPr>
            <w:rStyle w:val="Hyperlink"/>
            <w:rFonts w:asciiTheme="majorHAnsi" w:hAnsiTheme="majorHAnsi" w:cstheme="majorHAnsi"/>
            <w:sz w:val="22"/>
            <w:szCs w:val="22"/>
          </w:rPr>
          <w:t>kins V</w:t>
        </w:r>
      </w:hyperlink>
      <w:r w:rsidRPr="00AC6D65">
        <w:rPr>
          <w:rFonts w:asciiTheme="majorHAnsi" w:hAnsiTheme="majorHAnsi" w:cstheme="majorHAnsi"/>
          <w:sz w:val="22"/>
          <w:szCs w:val="22"/>
        </w:rPr>
        <w:t xml:space="preserve"> on February 15, 2019) is to more fully develop the academic knowledge and technical and employability skills of secondary education students and postsecondary </w:t>
      </w:r>
      <w:r w:rsidRPr="00EE3536">
        <w:rPr>
          <w:rFonts w:asciiTheme="majorHAnsi" w:hAnsiTheme="majorHAnsi" w:cstheme="majorHAnsi"/>
          <w:sz w:val="22"/>
          <w:szCs w:val="22"/>
        </w:rPr>
        <w:t>education students who elect to enroll in career and technical education programs and programs of study.</w:t>
      </w:r>
    </w:p>
    <w:p w:rsidR="000F30D4" w:rsidRPr="00EE3536" w:rsidRDefault="000F30D4" w:rsidP="000F30D4">
      <w:pPr>
        <w:rPr>
          <w:rFonts w:asciiTheme="majorHAnsi" w:hAnsiTheme="majorHAnsi" w:cstheme="majorHAnsi"/>
          <w:sz w:val="22"/>
          <w:szCs w:val="22"/>
        </w:rPr>
      </w:pPr>
    </w:p>
    <w:p w:rsidR="000F30D4" w:rsidRDefault="000F30D4" w:rsidP="000F30D4">
      <w:pPr>
        <w:rPr>
          <w:rFonts w:asciiTheme="majorHAnsi" w:hAnsiTheme="majorHAnsi" w:cstheme="majorHAnsi"/>
          <w:sz w:val="22"/>
          <w:szCs w:val="22"/>
        </w:rPr>
      </w:pPr>
      <w:r w:rsidRPr="00EE3536">
        <w:rPr>
          <w:rFonts w:asciiTheme="majorHAnsi" w:hAnsiTheme="majorHAnsi" w:cstheme="majorHAnsi"/>
          <w:sz w:val="22"/>
          <w:szCs w:val="22"/>
        </w:rPr>
        <w:t>Section 135 of Perkins V requires that funds made available to eligible recipients</w:t>
      </w:r>
      <w:r w:rsidRPr="00AC6D65">
        <w:rPr>
          <w:rFonts w:asciiTheme="majorHAnsi" w:hAnsiTheme="majorHAnsi" w:cstheme="majorHAnsi"/>
          <w:sz w:val="22"/>
          <w:szCs w:val="22"/>
        </w:rPr>
        <w:t xml:space="preserve"> shall be used to support career and technical education programs that are of sufficient size, scope, and quality to be effective.  </w:t>
      </w:r>
    </w:p>
    <w:p w:rsidR="000F30D4" w:rsidRDefault="000F30D4" w:rsidP="000F30D4">
      <w:pPr>
        <w:rPr>
          <w:rFonts w:asciiTheme="majorHAnsi" w:hAnsiTheme="majorHAnsi" w:cstheme="majorHAnsi"/>
          <w:sz w:val="22"/>
          <w:szCs w:val="22"/>
        </w:rPr>
      </w:pPr>
    </w:p>
    <w:p w:rsidR="000F30D4" w:rsidRDefault="000F30D4" w:rsidP="000F30D4">
      <w:pPr>
        <w:pBdr>
          <w:top w:val="nil"/>
          <w:left w:val="nil"/>
          <w:bottom w:val="nil"/>
          <w:right w:val="nil"/>
          <w:between w:val="nil"/>
        </w:pBdr>
        <w:rPr>
          <w:rFonts w:asciiTheme="majorHAnsi" w:hAnsiTheme="majorHAnsi" w:cstheme="majorHAnsi"/>
          <w:b/>
          <w:smallCaps/>
          <w:sz w:val="22"/>
          <w:szCs w:val="22"/>
        </w:rPr>
      </w:pPr>
    </w:p>
    <w:p w:rsidR="000F30D4" w:rsidRDefault="000F30D4" w:rsidP="000F30D4">
      <w:pPr>
        <w:pBdr>
          <w:top w:val="nil"/>
          <w:left w:val="nil"/>
          <w:bottom w:val="nil"/>
          <w:right w:val="nil"/>
          <w:between w:val="nil"/>
        </w:pBdr>
        <w:rPr>
          <w:rFonts w:asciiTheme="majorHAnsi" w:hAnsiTheme="majorHAnsi" w:cstheme="majorHAnsi"/>
          <w:b/>
          <w:smallCaps/>
          <w:sz w:val="22"/>
          <w:szCs w:val="22"/>
        </w:rPr>
      </w:pPr>
    </w:p>
    <w:p w:rsidR="000F30D4" w:rsidRDefault="000F30D4" w:rsidP="000F30D4">
      <w:pPr>
        <w:pBdr>
          <w:top w:val="nil"/>
          <w:left w:val="nil"/>
          <w:bottom w:val="nil"/>
          <w:right w:val="nil"/>
          <w:between w:val="nil"/>
        </w:pBdr>
        <w:rPr>
          <w:rFonts w:asciiTheme="majorHAnsi" w:hAnsiTheme="majorHAnsi" w:cstheme="majorHAnsi"/>
          <w:b/>
          <w:smallCaps/>
          <w:sz w:val="22"/>
          <w:szCs w:val="22"/>
        </w:rPr>
      </w:pPr>
    </w:p>
    <w:p w:rsidR="000F30D4" w:rsidRDefault="000F30D4" w:rsidP="000F30D4">
      <w:pPr>
        <w:pBdr>
          <w:top w:val="nil"/>
          <w:left w:val="nil"/>
          <w:bottom w:val="nil"/>
          <w:right w:val="nil"/>
          <w:between w:val="nil"/>
        </w:pBdr>
        <w:rPr>
          <w:rFonts w:asciiTheme="majorHAnsi" w:hAnsiTheme="majorHAnsi" w:cstheme="majorHAnsi"/>
          <w:b/>
          <w:smallCaps/>
          <w:sz w:val="22"/>
          <w:szCs w:val="22"/>
        </w:rPr>
      </w:pPr>
    </w:p>
    <w:p w:rsidR="000F30D4" w:rsidRPr="00AC6D65" w:rsidRDefault="000F30D4" w:rsidP="000F30D4">
      <w:pPr>
        <w:pBdr>
          <w:top w:val="nil"/>
          <w:left w:val="nil"/>
          <w:bottom w:val="nil"/>
          <w:right w:val="nil"/>
          <w:between w:val="nil"/>
        </w:pBdr>
        <w:rPr>
          <w:rFonts w:asciiTheme="majorHAnsi" w:hAnsiTheme="majorHAnsi" w:cstheme="majorHAnsi"/>
          <w:b/>
          <w:smallCaps/>
          <w:sz w:val="22"/>
          <w:szCs w:val="22"/>
        </w:rPr>
      </w:pPr>
      <w:r w:rsidRPr="00AC6D65">
        <w:rPr>
          <w:rFonts w:asciiTheme="majorHAnsi" w:hAnsiTheme="majorHAnsi" w:cstheme="majorHAnsi"/>
          <w:b/>
          <w:smallCaps/>
          <w:sz w:val="22"/>
          <w:szCs w:val="22"/>
        </w:rPr>
        <w:t>FEDERAL PERKINS GRANT PERFORMANCE MEASURES</w:t>
      </w:r>
    </w:p>
    <w:p w:rsidR="000F30D4" w:rsidRPr="00AC6D65" w:rsidRDefault="000F30D4" w:rsidP="000F30D4">
      <w:pPr>
        <w:rPr>
          <w:rFonts w:asciiTheme="majorHAnsi" w:hAnsiTheme="majorHAnsi" w:cstheme="majorHAnsi"/>
          <w:sz w:val="22"/>
          <w:szCs w:val="22"/>
        </w:rPr>
      </w:pPr>
      <w:r>
        <w:rPr>
          <w:rFonts w:asciiTheme="majorHAnsi" w:hAnsiTheme="majorHAnsi" w:cstheme="majorHAnsi"/>
          <w:sz w:val="22"/>
          <w:szCs w:val="22"/>
        </w:rPr>
        <w:t>E</w:t>
      </w:r>
      <w:r w:rsidRPr="00AC6D65">
        <w:rPr>
          <w:rFonts w:asciiTheme="majorHAnsi" w:hAnsiTheme="majorHAnsi" w:cstheme="majorHAnsi"/>
          <w:sz w:val="22"/>
          <w:szCs w:val="22"/>
        </w:rPr>
        <w:t>ach performance measure describe</w:t>
      </w:r>
      <w:r>
        <w:rPr>
          <w:rFonts w:asciiTheme="majorHAnsi" w:hAnsiTheme="majorHAnsi" w:cstheme="majorHAnsi"/>
          <w:sz w:val="22"/>
          <w:szCs w:val="22"/>
        </w:rPr>
        <w:t>s</w:t>
      </w:r>
      <w:r w:rsidRPr="00AC6D65">
        <w:rPr>
          <w:rFonts w:asciiTheme="majorHAnsi" w:hAnsiTheme="majorHAnsi" w:cstheme="majorHAnsi"/>
          <w:sz w:val="22"/>
          <w:szCs w:val="22"/>
        </w:rPr>
        <w:t xml:space="preserve"> how Perkins funded P</w:t>
      </w:r>
      <w:r>
        <w:rPr>
          <w:rFonts w:asciiTheme="majorHAnsi" w:hAnsiTheme="majorHAnsi" w:cstheme="majorHAnsi"/>
          <w:sz w:val="22"/>
          <w:szCs w:val="22"/>
        </w:rPr>
        <w:t>rograms of Study</w:t>
      </w:r>
      <w:r w:rsidRPr="00AC6D65">
        <w:rPr>
          <w:rFonts w:asciiTheme="majorHAnsi" w:hAnsiTheme="majorHAnsi" w:cstheme="majorHAnsi"/>
          <w:sz w:val="22"/>
          <w:szCs w:val="22"/>
        </w:rPr>
        <w:t xml:space="preserve"> will be measured to assess impact on the objective.</w:t>
      </w:r>
    </w:p>
    <w:p w:rsidR="000F30D4" w:rsidRPr="00AC6D65" w:rsidRDefault="000F30D4" w:rsidP="000F30D4">
      <w:pPr>
        <w:ind w:left="360" w:hanging="360"/>
        <w:rPr>
          <w:rFonts w:asciiTheme="majorHAnsi" w:hAnsiTheme="majorHAnsi" w:cstheme="majorHAnsi"/>
          <w:sz w:val="22"/>
          <w:szCs w:val="22"/>
        </w:rPr>
      </w:pPr>
    </w:p>
    <w:p w:rsidR="000F30D4" w:rsidRPr="00AC6D65" w:rsidRDefault="000F30D4" w:rsidP="000F30D4">
      <w:pPr>
        <w:tabs>
          <w:tab w:val="left" w:pos="1170"/>
        </w:tabs>
        <w:ind w:left="360"/>
        <w:rPr>
          <w:rFonts w:asciiTheme="majorHAnsi" w:hAnsiTheme="majorHAnsi" w:cstheme="majorHAnsi"/>
          <w:b/>
          <w:bCs/>
          <w:sz w:val="22"/>
          <w:szCs w:val="22"/>
        </w:rPr>
      </w:pPr>
      <w:r w:rsidRPr="00D71169">
        <w:rPr>
          <w:rFonts w:asciiTheme="majorHAnsi" w:hAnsiTheme="majorHAnsi" w:cstheme="majorHAnsi"/>
          <w:b/>
          <w:bCs/>
          <w:sz w:val="22"/>
          <w:szCs w:val="22"/>
        </w:rPr>
        <w:t>1P1 – Retention and Placement</w:t>
      </w:r>
    </w:p>
    <w:p w:rsidR="000F30D4" w:rsidRPr="00AC6D65" w:rsidRDefault="000F30D4" w:rsidP="000F30D4">
      <w:pPr>
        <w:tabs>
          <w:tab w:val="left" w:pos="1170"/>
        </w:tabs>
        <w:ind w:left="360"/>
        <w:rPr>
          <w:rFonts w:asciiTheme="majorHAnsi" w:hAnsiTheme="majorHAnsi" w:cstheme="majorHAnsi"/>
          <w:b/>
          <w:bCs/>
          <w:sz w:val="22"/>
          <w:szCs w:val="22"/>
        </w:rPr>
      </w:pPr>
    </w:p>
    <w:p w:rsidR="000F30D4" w:rsidRPr="00AC6D65" w:rsidRDefault="000F30D4" w:rsidP="000F30D4">
      <w:pPr>
        <w:tabs>
          <w:tab w:val="left" w:pos="1170"/>
        </w:tabs>
        <w:ind w:left="360"/>
        <w:rPr>
          <w:rFonts w:asciiTheme="majorHAnsi" w:hAnsiTheme="majorHAnsi" w:cstheme="majorHAnsi"/>
          <w:b/>
          <w:bCs/>
          <w:sz w:val="22"/>
          <w:szCs w:val="22"/>
        </w:rPr>
      </w:pPr>
      <w:r w:rsidRPr="00AC6D65">
        <w:rPr>
          <w:rFonts w:asciiTheme="majorHAnsi" w:hAnsiTheme="majorHAnsi" w:cstheme="majorHAnsi"/>
          <w:b/>
          <w:bCs/>
          <w:sz w:val="22"/>
          <w:szCs w:val="22"/>
        </w:rPr>
        <w:t>Proposed Level of Performance</w:t>
      </w:r>
      <w:r>
        <w:rPr>
          <w:rFonts w:asciiTheme="majorHAnsi" w:hAnsiTheme="majorHAnsi" w:cstheme="majorHAnsi"/>
          <w:b/>
          <w:bCs/>
          <w:sz w:val="22"/>
          <w:szCs w:val="22"/>
        </w:rPr>
        <w:t xml:space="preserve"> by ADE</w:t>
      </w:r>
    </w:p>
    <w:tbl>
      <w:tblPr>
        <w:tblpPr w:leftFromText="180" w:rightFromText="180" w:vertAnchor="text" w:horzAnchor="page" w:tblpX="1560" w:tblpY="15"/>
        <w:tblW w:w="0" w:type="auto"/>
        <w:tblCellMar>
          <w:top w:w="15" w:type="dxa"/>
          <w:left w:w="15" w:type="dxa"/>
          <w:bottom w:w="15" w:type="dxa"/>
          <w:right w:w="15" w:type="dxa"/>
        </w:tblCellMar>
        <w:tblLook w:val="04A0" w:firstRow="1" w:lastRow="0" w:firstColumn="1" w:lastColumn="0" w:noHBand="0" w:noVBand="1"/>
      </w:tblPr>
      <w:tblGrid>
        <w:gridCol w:w="983"/>
        <w:gridCol w:w="933"/>
        <w:gridCol w:w="933"/>
        <w:gridCol w:w="933"/>
      </w:tblGrid>
      <w:tr w:rsidR="000F30D4" w:rsidRPr="00D71169" w:rsidTr="006210CA">
        <w:trPr>
          <w:trHeight w:val="28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F30D4" w:rsidRPr="00D71169" w:rsidRDefault="000F30D4" w:rsidP="006210CA">
            <w:pPr>
              <w:jc w:val="center"/>
              <w:rPr>
                <w:rFonts w:asciiTheme="majorHAnsi" w:hAnsiTheme="majorHAnsi" w:cstheme="majorHAnsi"/>
                <w:sz w:val="22"/>
                <w:szCs w:val="22"/>
              </w:rPr>
            </w:pPr>
            <w:r w:rsidRPr="00EE3536">
              <w:rPr>
                <w:rFonts w:asciiTheme="majorHAnsi" w:hAnsiTheme="majorHAnsi" w:cstheme="majorHAnsi"/>
                <w:b/>
                <w:bCs/>
                <w:sz w:val="22"/>
                <w:szCs w:val="22"/>
              </w:rPr>
              <w:t>SY</w:t>
            </w:r>
            <w:r w:rsidRPr="00D71169">
              <w:rPr>
                <w:rFonts w:asciiTheme="majorHAnsi" w:hAnsiTheme="majorHAnsi" w:cstheme="majorHAnsi"/>
                <w:b/>
                <w:bCs/>
                <w:sz w:val="22"/>
                <w:szCs w:val="22"/>
              </w:rPr>
              <w:t>19-20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F30D4" w:rsidRPr="00D71169" w:rsidRDefault="000F30D4" w:rsidP="006210CA">
            <w:pPr>
              <w:jc w:val="center"/>
              <w:rPr>
                <w:rFonts w:asciiTheme="majorHAnsi" w:hAnsiTheme="majorHAnsi" w:cstheme="majorHAnsi"/>
                <w:sz w:val="22"/>
                <w:szCs w:val="22"/>
              </w:rPr>
            </w:pPr>
            <w:r w:rsidRPr="00D71169">
              <w:rPr>
                <w:rFonts w:asciiTheme="majorHAnsi" w:hAnsiTheme="majorHAnsi" w:cstheme="majorHAnsi"/>
                <w:b/>
                <w:bCs/>
                <w:sz w:val="22"/>
                <w:szCs w:val="22"/>
              </w:rPr>
              <w:t>SY20-21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F30D4" w:rsidRPr="00D71169" w:rsidRDefault="000F30D4" w:rsidP="006210CA">
            <w:pPr>
              <w:jc w:val="center"/>
              <w:rPr>
                <w:rFonts w:asciiTheme="majorHAnsi" w:hAnsiTheme="majorHAnsi" w:cstheme="majorHAnsi"/>
                <w:sz w:val="22"/>
                <w:szCs w:val="22"/>
              </w:rPr>
            </w:pPr>
            <w:r w:rsidRPr="00D71169">
              <w:rPr>
                <w:rFonts w:asciiTheme="majorHAnsi" w:hAnsiTheme="majorHAnsi" w:cstheme="majorHAnsi"/>
                <w:b/>
                <w:bCs/>
                <w:sz w:val="22"/>
                <w:szCs w:val="22"/>
              </w:rPr>
              <w:t>SY21-22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F30D4" w:rsidRPr="00D71169" w:rsidRDefault="000F30D4" w:rsidP="006210CA">
            <w:pPr>
              <w:jc w:val="center"/>
              <w:rPr>
                <w:rFonts w:asciiTheme="majorHAnsi" w:hAnsiTheme="majorHAnsi" w:cstheme="majorHAnsi"/>
                <w:sz w:val="22"/>
                <w:szCs w:val="22"/>
              </w:rPr>
            </w:pPr>
            <w:r w:rsidRPr="00D71169">
              <w:rPr>
                <w:rFonts w:asciiTheme="majorHAnsi" w:hAnsiTheme="majorHAnsi" w:cstheme="majorHAnsi"/>
                <w:b/>
                <w:bCs/>
                <w:sz w:val="22"/>
                <w:szCs w:val="22"/>
              </w:rPr>
              <w:t>SY22-23</w:t>
            </w:r>
          </w:p>
        </w:tc>
      </w:tr>
      <w:tr w:rsidR="000F30D4" w:rsidRPr="00D71169" w:rsidTr="006210C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F30D4" w:rsidRPr="00D71169" w:rsidRDefault="000F30D4" w:rsidP="006210CA">
            <w:pPr>
              <w:jc w:val="center"/>
              <w:rPr>
                <w:rFonts w:asciiTheme="majorHAnsi" w:hAnsiTheme="majorHAnsi" w:cstheme="majorHAnsi"/>
                <w:sz w:val="22"/>
                <w:szCs w:val="22"/>
              </w:rPr>
            </w:pPr>
            <w:r w:rsidRPr="00D71169">
              <w:rPr>
                <w:rFonts w:asciiTheme="majorHAnsi" w:hAnsiTheme="majorHAnsi" w:cstheme="majorHAnsi"/>
                <w:sz w:val="22"/>
                <w:szCs w:val="22"/>
              </w:rPr>
              <w:t>35.00%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F30D4" w:rsidRPr="00D71169" w:rsidRDefault="000F30D4" w:rsidP="006210CA">
            <w:pPr>
              <w:jc w:val="center"/>
              <w:rPr>
                <w:rFonts w:asciiTheme="majorHAnsi" w:hAnsiTheme="majorHAnsi" w:cstheme="majorHAnsi"/>
                <w:sz w:val="22"/>
                <w:szCs w:val="22"/>
              </w:rPr>
            </w:pPr>
            <w:r w:rsidRPr="00D71169">
              <w:rPr>
                <w:rFonts w:asciiTheme="majorHAnsi" w:hAnsiTheme="majorHAnsi" w:cstheme="majorHAnsi"/>
                <w:sz w:val="22"/>
                <w:szCs w:val="22"/>
              </w:rPr>
              <w:t>35.25%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F30D4" w:rsidRPr="00D71169" w:rsidRDefault="000F30D4" w:rsidP="006210CA">
            <w:pPr>
              <w:jc w:val="center"/>
              <w:rPr>
                <w:rFonts w:asciiTheme="majorHAnsi" w:hAnsiTheme="majorHAnsi" w:cstheme="majorHAnsi"/>
                <w:sz w:val="22"/>
                <w:szCs w:val="22"/>
              </w:rPr>
            </w:pPr>
            <w:r w:rsidRPr="00D71169">
              <w:rPr>
                <w:rFonts w:asciiTheme="majorHAnsi" w:hAnsiTheme="majorHAnsi" w:cstheme="majorHAnsi"/>
                <w:sz w:val="22"/>
                <w:szCs w:val="22"/>
              </w:rPr>
              <w:t>35.50%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F30D4" w:rsidRPr="00D71169" w:rsidRDefault="000F30D4" w:rsidP="006210CA">
            <w:pPr>
              <w:jc w:val="center"/>
              <w:rPr>
                <w:rFonts w:asciiTheme="majorHAnsi" w:hAnsiTheme="majorHAnsi" w:cstheme="majorHAnsi"/>
                <w:sz w:val="22"/>
                <w:szCs w:val="22"/>
              </w:rPr>
            </w:pPr>
            <w:r w:rsidRPr="00D71169">
              <w:rPr>
                <w:rFonts w:asciiTheme="majorHAnsi" w:hAnsiTheme="majorHAnsi" w:cstheme="majorHAnsi"/>
                <w:sz w:val="22"/>
                <w:szCs w:val="22"/>
              </w:rPr>
              <w:t>35.75%</w:t>
            </w:r>
          </w:p>
        </w:tc>
      </w:tr>
    </w:tbl>
    <w:p w:rsidR="000F30D4" w:rsidRPr="00D71169" w:rsidRDefault="000F30D4" w:rsidP="000F30D4">
      <w:pPr>
        <w:rPr>
          <w:rFonts w:asciiTheme="majorHAnsi" w:hAnsiTheme="majorHAnsi" w:cstheme="majorHAnsi"/>
          <w:sz w:val="22"/>
          <w:szCs w:val="22"/>
        </w:rPr>
      </w:pPr>
    </w:p>
    <w:p w:rsidR="000F30D4" w:rsidRPr="00D71169" w:rsidRDefault="000F30D4" w:rsidP="000F30D4">
      <w:pPr>
        <w:tabs>
          <w:tab w:val="left" w:pos="1170"/>
        </w:tabs>
        <w:ind w:left="1170"/>
        <w:rPr>
          <w:rFonts w:asciiTheme="majorHAnsi" w:hAnsiTheme="majorHAnsi" w:cstheme="majorHAnsi"/>
          <w:sz w:val="22"/>
          <w:szCs w:val="22"/>
        </w:rPr>
      </w:pPr>
    </w:p>
    <w:p w:rsidR="000F30D4" w:rsidRPr="00AC6D65" w:rsidRDefault="000F30D4" w:rsidP="000F30D4">
      <w:pPr>
        <w:tabs>
          <w:tab w:val="left" w:pos="1170"/>
        </w:tabs>
        <w:ind w:left="1170"/>
        <w:rPr>
          <w:rFonts w:asciiTheme="majorHAnsi" w:hAnsiTheme="majorHAnsi" w:cstheme="majorHAnsi"/>
          <w:i/>
          <w:iCs/>
          <w:sz w:val="22"/>
          <w:szCs w:val="22"/>
        </w:rPr>
      </w:pPr>
    </w:p>
    <w:p w:rsidR="000F30D4" w:rsidRPr="00D71169" w:rsidRDefault="000F30D4" w:rsidP="000F30D4">
      <w:pPr>
        <w:tabs>
          <w:tab w:val="left" w:pos="360"/>
          <w:tab w:val="left" w:pos="1170"/>
        </w:tabs>
        <w:ind w:left="360"/>
        <w:rPr>
          <w:rFonts w:asciiTheme="majorHAnsi" w:hAnsiTheme="majorHAnsi" w:cstheme="majorHAnsi"/>
          <w:sz w:val="22"/>
          <w:szCs w:val="22"/>
        </w:rPr>
      </w:pPr>
      <w:r w:rsidRPr="00D71169">
        <w:rPr>
          <w:rFonts w:asciiTheme="majorHAnsi" w:hAnsiTheme="majorHAnsi" w:cstheme="majorHAnsi"/>
          <w:i/>
          <w:iCs/>
          <w:sz w:val="22"/>
          <w:szCs w:val="22"/>
        </w:rPr>
        <w:t>Numerator:</w:t>
      </w:r>
      <w:r w:rsidRPr="00D71169">
        <w:rPr>
          <w:rFonts w:asciiTheme="majorHAnsi" w:hAnsiTheme="majorHAnsi" w:cstheme="majorHAnsi"/>
          <w:sz w:val="22"/>
          <w:szCs w:val="22"/>
        </w:rPr>
        <w:t xml:space="preserve"> Number of CTE </w:t>
      </w:r>
      <w:r w:rsidRPr="00D71169">
        <w:rPr>
          <w:rFonts w:asciiTheme="majorHAnsi" w:hAnsiTheme="majorHAnsi" w:cstheme="majorHAnsi"/>
          <w:sz w:val="22"/>
          <w:szCs w:val="22"/>
          <w:u w:val="single"/>
        </w:rPr>
        <w:t>concentrators</w:t>
      </w:r>
      <w:r w:rsidRPr="00D71169">
        <w:rPr>
          <w:rFonts w:asciiTheme="majorHAnsi" w:hAnsiTheme="majorHAnsi" w:cstheme="majorHAnsi"/>
          <w:sz w:val="22"/>
          <w:szCs w:val="22"/>
        </w:rPr>
        <w:t xml:space="preserve"> who completed their program in the previous reporting year and who remained enrolled in postsecondary education, were placed in employment, military service, apprenticeship or advanced training by the second quarter of the reporting year.</w:t>
      </w:r>
    </w:p>
    <w:p w:rsidR="000F30D4" w:rsidRPr="00AC6D65" w:rsidRDefault="000F30D4" w:rsidP="000F30D4">
      <w:pPr>
        <w:tabs>
          <w:tab w:val="left" w:pos="360"/>
          <w:tab w:val="left" w:pos="1170"/>
        </w:tabs>
        <w:ind w:left="360"/>
        <w:rPr>
          <w:rFonts w:asciiTheme="majorHAnsi" w:hAnsiTheme="majorHAnsi" w:cstheme="majorHAnsi"/>
          <w:sz w:val="22"/>
          <w:szCs w:val="22"/>
        </w:rPr>
      </w:pPr>
      <w:r w:rsidRPr="00D71169">
        <w:rPr>
          <w:rFonts w:asciiTheme="majorHAnsi" w:hAnsiTheme="majorHAnsi" w:cstheme="majorHAnsi"/>
          <w:i/>
          <w:iCs/>
          <w:sz w:val="22"/>
          <w:szCs w:val="22"/>
        </w:rPr>
        <w:t>Denominator:</w:t>
      </w:r>
      <w:r w:rsidRPr="00D71169">
        <w:rPr>
          <w:rFonts w:asciiTheme="majorHAnsi" w:hAnsiTheme="majorHAnsi" w:cstheme="majorHAnsi"/>
          <w:sz w:val="22"/>
          <w:szCs w:val="22"/>
        </w:rPr>
        <w:t xml:space="preserve"> Number of CTE </w:t>
      </w:r>
      <w:r w:rsidRPr="00D71169">
        <w:rPr>
          <w:rFonts w:asciiTheme="majorHAnsi" w:hAnsiTheme="majorHAnsi" w:cstheme="majorHAnsi"/>
          <w:sz w:val="22"/>
          <w:szCs w:val="22"/>
          <w:u w:val="single"/>
        </w:rPr>
        <w:t>concentrators</w:t>
      </w:r>
      <w:r w:rsidRPr="00D71169">
        <w:rPr>
          <w:rFonts w:asciiTheme="majorHAnsi" w:hAnsiTheme="majorHAnsi" w:cstheme="majorHAnsi"/>
          <w:sz w:val="22"/>
          <w:szCs w:val="22"/>
        </w:rPr>
        <w:t xml:space="preserve"> who completed their program in the previous reporting year. </w:t>
      </w:r>
    </w:p>
    <w:p w:rsidR="000F30D4" w:rsidRPr="00AC6D65" w:rsidRDefault="000F30D4" w:rsidP="000F30D4">
      <w:pPr>
        <w:tabs>
          <w:tab w:val="left" w:pos="360"/>
        </w:tabs>
        <w:rPr>
          <w:rFonts w:asciiTheme="majorHAnsi" w:hAnsiTheme="majorHAnsi" w:cstheme="majorHAnsi"/>
          <w:sz w:val="22"/>
          <w:szCs w:val="22"/>
        </w:rPr>
      </w:pPr>
    </w:p>
    <w:p w:rsidR="000F30D4" w:rsidRPr="00AC6D65" w:rsidRDefault="000F30D4" w:rsidP="000F30D4">
      <w:pPr>
        <w:tabs>
          <w:tab w:val="left" w:pos="360"/>
          <w:tab w:val="left" w:pos="1170"/>
        </w:tabs>
        <w:ind w:left="360"/>
        <w:rPr>
          <w:rFonts w:asciiTheme="majorHAnsi" w:hAnsiTheme="majorHAnsi" w:cstheme="majorHAnsi"/>
          <w:b/>
          <w:bCs/>
          <w:sz w:val="22"/>
          <w:szCs w:val="22"/>
        </w:rPr>
      </w:pPr>
      <w:r w:rsidRPr="00D71169">
        <w:rPr>
          <w:rFonts w:asciiTheme="majorHAnsi" w:hAnsiTheme="majorHAnsi" w:cstheme="majorHAnsi"/>
          <w:b/>
          <w:bCs/>
          <w:sz w:val="22"/>
          <w:szCs w:val="22"/>
        </w:rPr>
        <w:t>2P1 – Credential, Certificate or Degree</w:t>
      </w:r>
    </w:p>
    <w:p w:rsidR="000F30D4" w:rsidRPr="00AC6D65" w:rsidRDefault="000F30D4" w:rsidP="000F30D4">
      <w:pPr>
        <w:tabs>
          <w:tab w:val="left" w:pos="360"/>
          <w:tab w:val="left" w:pos="1170"/>
        </w:tabs>
        <w:ind w:left="360"/>
        <w:rPr>
          <w:rFonts w:asciiTheme="majorHAnsi" w:hAnsiTheme="majorHAnsi" w:cstheme="majorHAnsi"/>
          <w:b/>
          <w:bCs/>
          <w:sz w:val="22"/>
          <w:szCs w:val="22"/>
        </w:rPr>
      </w:pPr>
    </w:p>
    <w:p w:rsidR="000F30D4" w:rsidRPr="00AC6D65" w:rsidRDefault="000F30D4" w:rsidP="000F30D4">
      <w:pPr>
        <w:tabs>
          <w:tab w:val="left" w:pos="1170"/>
        </w:tabs>
        <w:ind w:left="360"/>
        <w:rPr>
          <w:rFonts w:asciiTheme="majorHAnsi" w:hAnsiTheme="majorHAnsi" w:cstheme="majorHAnsi"/>
          <w:b/>
          <w:bCs/>
          <w:sz w:val="22"/>
          <w:szCs w:val="22"/>
        </w:rPr>
      </w:pPr>
      <w:r w:rsidRPr="00AC6D65">
        <w:rPr>
          <w:rFonts w:asciiTheme="majorHAnsi" w:hAnsiTheme="majorHAnsi" w:cstheme="majorHAnsi"/>
          <w:b/>
          <w:bCs/>
          <w:sz w:val="22"/>
          <w:szCs w:val="22"/>
        </w:rPr>
        <w:t>Proposed Level of Performance</w:t>
      </w:r>
      <w:r>
        <w:rPr>
          <w:rFonts w:asciiTheme="majorHAnsi" w:hAnsiTheme="majorHAnsi" w:cstheme="majorHAnsi"/>
          <w:b/>
          <w:bCs/>
          <w:sz w:val="22"/>
          <w:szCs w:val="22"/>
        </w:rPr>
        <w:t xml:space="preserve"> by ADE</w:t>
      </w:r>
    </w:p>
    <w:tbl>
      <w:tblPr>
        <w:tblpPr w:leftFromText="180" w:rightFromText="180" w:vertAnchor="text" w:horzAnchor="page" w:tblpX="1560" w:tblpY="15"/>
        <w:tblW w:w="0" w:type="auto"/>
        <w:tblCellMar>
          <w:top w:w="15" w:type="dxa"/>
          <w:left w:w="15" w:type="dxa"/>
          <w:bottom w:w="15" w:type="dxa"/>
          <w:right w:w="15" w:type="dxa"/>
        </w:tblCellMar>
        <w:tblLook w:val="04A0" w:firstRow="1" w:lastRow="0" w:firstColumn="1" w:lastColumn="0" w:noHBand="0" w:noVBand="1"/>
      </w:tblPr>
      <w:tblGrid>
        <w:gridCol w:w="983"/>
        <w:gridCol w:w="933"/>
        <w:gridCol w:w="933"/>
        <w:gridCol w:w="933"/>
      </w:tblGrid>
      <w:tr w:rsidR="000F30D4" w:rsidRPr="00D71169" w:rsidTr="006210CA">
        <w:trPr>
          <w:trHeight w:val="28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F30D4" w:rsidRPr="00D71169" w:rsidRDefault="000F30D4" w:rsidP="006210CA">
            <w:pPr>
              <w:jc w:val="center"/>
              <w:rPr>
                <w:rFonts w:asciiTheme="majorHAnsi" w:hAnsiTheme="majorHAnsi" w:cstheme="majorHAnsi"/>
                <w:sz w:val="22"/>
                <w:szCs w:val="22"/>
              </w:rPr>
            </w:pPr>
            <w:r w:rsidRPr="00D71169">
              <w:rPr>
                <w:rFonts w:asciiTheme="majorHAnsi" w:hAnsiTheme="majorHAnsi" w:cstheme="majorHAnsi"/>
                <w:b/>
                <w:bCs/>
                <w:sz w:val="22"/>
                <w:szCs w:val="22"/>
              </w:rPr>
              <w:t>SY19-20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F30D4" w:rsidRPr="00D71169" w:rsidRDefault="000F30D4" w:rsidP="006210CA">
            <w:pPr>
              <w:jc w:val="center"/>
              <w:rPr>
                <w:rFonts w:asciiTheme="majorHAnsi" w:hAnsiTheme="majorHAnsi" w:cstheme="majorHAnsi"/>
                <w:sz w:val="22"/>
                <w:szCs w:val="22"/>
              </w:rPr>
            </w:pPr>
            <w:r w:rsidRPr="00D71169">
              <w:rPr>
                <w:rFonts w:asciiTheme="majorHAnsi" w:hAnsiTheme="majorHAnsi" w:cstheme="majorHAnsi"/>
                <w:b/>
                <w:bCs/>
                <w:sz w:val="22"/>
                <w:szCs w:val="22"/>
              </w:rPr>
              <w:t>SY20-21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F30D4" w:rsidRPr="00D71169" w:rsidRDefault="000F30D4" w:rsidP="006210CA">
            <w:pPr>
              <w:jc w:val="center"/>
              <w:rPr>
                <w:rFonts w:asciiTheme="majorHAnsi" w:hAnsiTheme="majorHAnsi" w:cstheme="majorHAnsi"/>
                <w:sz w:val="22"/>
                <w:szCs w:val="22"/>
              </w:rPr>
            </w:pPr>
            <w:r w:rsidRPr="00D71169">
              <w:rPr>
                <w:rFonts w:asciiTheme="majorHAnsi" w:hAnsiTheme="majorHAnsi" w:cstheme="majorHAnsi"/>
                <w:b/>
                <w:bCs/>
                <w:sz w:val="22"/>
                <w:szCs w:val="22"/>
              </w:rPr>
              <w:t>SY21-22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F30D4" w:rsidRPr="00D71169" w:rsidRDefault="000F30D4" w:rsidP="006210CA">
            <w:pPr>
              <w:jc w:val="center"/>
              <w:rPr>
                <w:rFonts w:asciiTheme="majorHAnsi" w:hAnsiTheme="majorHAnsi" w:cstheme="majorHAnsi"/>
                <w:sz w:val="22"/>
                <w:szCs w:val="22"/>
              </w:rPr>
            </w:pPr>
            <w:r w:rsidRPr="00D71169">
              <w:rPr>
                <w:rFonts w:asciiTheme="majorHAnsi" w:hAnsiTheme="majorHAnsi" w:cstheme="majorHAnsi"/>
                <w:b/>
                <w:bCs/>
                <w:sz w:val="22"/>
                <w:szCs w:val="22"/>
              </w:rPr>
              <w:t>SY22-23</w:t>
            </w:r>
          </w:p>
        </w:tc>
      </w:tr>
      <w:tr w:rsidR="000F30D4" w:rsidRPr="00D71169" w:rsidTr="006210C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F30D4" w:rsidRPr="00D71169" w:rsidRDefault="000F30D4" w:rsidP="006210CA">
            <w:pPr>
              <w:jc w:val="center"/>
              <w:rPr>
                <w:rFonts w:asciiTheme="majorHAnsi" w:hAnsiTheme="majorHAnsi" w:cstheme="majorHAnsi"/>
                <w:sz w:val="22"/>
                <w:szCs w:val="22"/>
              </w:rPr>
            </w:pPr>
            <w:r w:rsidRPr="00AC6D65">
              <w:rPr>
                <w:rFonts w:asciiTheme="majorHAnsi" w:hAnsiTheme="majorHAnsi" w:cstheme="majorHAnsi"/>
                <w:sz w:val="22"/>
                <w:szCs w:val="22"/>
              </w:rPr>
              <w:t>4</w:t>
            </w:r>
            <w:r w:rsidRPr="00D71169">
              <w:rPr>
                <w:rFonts w:asciiTheme="majorHAnsi" w:hAnsiTheme="majorHAnsi" w:cstheme="majorHAnsi"/>
                <w:sz w:val="22"/>
                <w:szCs w:val="22"/>
              </w:rPr>
              <w:t>5.00%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F30D4" w:rsidRPr="00D71169" w:rsidRDefault="000F30D4" w:rsidP="006210CA">
            <w:pPr>
              <w:jc w:val="center"/>
              <w:rPr>
                <w:rFonts w:asciiTheme="majorHAnsi" w:hAnsiTheme="majorHAnsi" w:cstheme="majorHAnsi"/>
                <w:sz w:val="22"/>
                <w:szCs w:val="22"/>
              </w:rPr>
            </w:pPr>
            <w:r w:rsidRPr="00AC6D65">
              <w:rPr>
                <w:rFonts w:asciiTheme="majorHAnsi" w:hAnsiTheme="majorHAnsi" w:cstheme="majorHAnsi"/>
                <w:sz w:val="22"/>
                <w:szCs w:val="22"/>
              </w:rPr>
              <w:t>4</w:t>
            </w:r>
            <w:r w:rsidRPr="00D71169">
              <w:rPr>
                <w:rFonts w:asciiTheme="majorHAnsi" w:hAnsiTheme="majorHAnsi" w:cstheme="majorHAnsi"/>
                <w:sz w:val="22"/>
                <w:szCs w:val="22"/>
              </w:rPr>
              <w:t>5.25%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F30D4" w:rsidRPr="00D71169" w:rsidRDefault="000F30D4" w:rsidP="006210CA">
            <w:pPr>
              <w:jc w:val="center"/>
              <w:rPr>
                <w:rFonts w:asciiTheme="majorHAnsi" w:hAnsiTheme="majorHAnsi" w:cstheme="majorHAnsi"/>
                <w:sz w:val="22"/>
                <w:szCs w:val="22"/>
              </w:rPr>
            </w:pPr>
            <w:r w:rsidRPr="00AC6D65">
              <w:rPr>
                <w:rFonts w:asciiTheme="majorHAnsi" w:hAnsiTheme="majorHAnsi" w:cstheme="majorHAnsi"/>
                <w:sz w:val="22"/>
                <w:szCs w:val="22"/>
              </w:rPr>
              <w:t>4</w:t>
            </w:r>
            <w:r w:rsidRPr="00D71169">
              <w:rPr>
                <w:rFonts w:asciiTheme="majorHAnsi" w:hAnsiTheme="majorHAnsi" w:cstheme="majorHAnsi"/>
                <w:sz w:val="22"/>
                <w:szCs w:val="22"/>
              </w:rPr>
              <w:t>5.50%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F30D4" w:rsidRPr="00D71169" w:rsidRDefault="000F30D4" w:rsidP="006210CA">
            <w:pPr>
              <w:jc w:val="center"/>
              <w:rPr>
                <w:rFonts w:asciiTheme="majorHAnsi" w:hAnsiTheme="majorHAnsi" w:cstheme="majorHAnsi"/>
                <w:sz w:val="22"/>
                <w:szCs w:val="22"/>
              </w:rPr>
            </w:pPr>
            <w:r w:rsidRPr="00AC6D65">
              <w:rPr>
                <w:rFonts w:asciiTheme="majorHAnsi" w:hAnsiTheme="majorHAnsi" w:cstheme="majorHAnsi"/>
                <w:sz w:val="22"/>
                <w:szCs w:val="22"/>
              </w:rPr>
              <w:t>4</w:t>
            </w:r>
            <w:r w:rsidRPr="00D71169">
              <w:rPr>
                <w:rFonts w:asciiTheme="majorHAnsi" w:hAnsiTheme="majorHAnsi" w:cstheme="majorHAnsi"/>
                <w:sz w:val="22"/>
                <w:szCs w:val="22"/>
              </w:rPr>
              <w:t>5.75%</w:t>
            </w:r>
          </w:p>
        </w:tc>
      </w:tr>
    </w:tbl>
    <w:p w:rsidR="000F30D4" w:rsidRPr="00AC6D65" w:rsidRDefault="000F30D4" w:rsidP="000F30D4">
      <w:pPr>
        <w:tabs>
          <w:tab w:val="left" w:pos="360"/>
          <w:tab w:val="left" w:pos="1170"/>
        </w:tabs>
        <w:ind w:left="360"/>
        <w:rPr>
          <w:rFonts w:asciiTheme="majorHAnsi" w:hAnsiTheme="majorHAnsi" w:cstheme="majorHAnsi"/>
          <w:i/>
          <w:iCs/>
          <w:sz w:val="22"/>
          <w:szCs w:val="22"/>
        </w:rPr>
      </w:pPr>
    </w:p>
    <w:p w:rsidR="000F30D4" w:rsidRPr="00AC6D65" w:rsidRDefault="000F30D4" w:rsidP="000F30D4">
      <w:pPr>
        <w:tabs>
          <w:tab w:val="left" w:pos="1170"/>
        </w:tabs>
        <w:ind w:left="1170"/>
        <w:rPr>
          <w:rFonts w:asciiTheme="majorHAnsi" w:hAnsiTheme="majorHAnsi" w:cstheme="majorHAnsi"/>
          <w:i/>
          <w:iCs/>
          <w:sz w:val="22"/>
          <w:szCs w:val="22"/>
        </w:rPr>
      </w:pPr>
    </w:p>
    <w:p w:rsidR="000F30D4" w:rsidRPr="00AC6D65" w:rsidRDefault="000F30D4" w:rsidP="000F30D4">
      <w:pPr>
        <w:tabs>
          <w:tab w:val="left" w:pos="1170"/>
        </w:tabs>
        <w:ind w:left="1170"/>
        <w:rPr>
          <w:rFonts w:asciiTheme="majorHAnsi" w:hAnsiTheme="majorHAnsi" w:cstheme="majorHAnsi"/>
          <w:i/>
          <w:iCs/>
          <w:sz w:val="22"/>
          <w:szCs w:val="22"/>
        </w:rPr>
      </w:pPr>
    </w:p>
    <w:p w:rsidR="000F30D4" w:rsidRPr="00D71169" w:rsidRDefault="000F30D4" w:rsidP="000F30D4">
      <w:pPr>
        <w:tabs>
          <w:tab w:val="left" w:pos="360"/>
          <w:tab w:val="left" w:pos="1170"/>
        </w:tabs>
        <w:ind w:left="360"/>
        <w:rPr>
          <w:rFonts w:asciiTheme="majorHAnsi" w:hAnsiTheme="majorHAnsi" w:cstheme="majorHAnsi"/>
          <w:sz w:val="22"/>
          <w:szCs w:val="22"/>
        </w:rPr>
      </w:pPr>
      <w:r w:rsidRPr="00D71169">
        <w:rPr>
          <w:rFonts w:asciiTheme="majorHAnsi" w:hAnsiTheme="majorHAnsi" w:cstheme="majorHAnsi"/>
          <w:i/>
          <w:iCs/>
          <w:sz w:val="22"/>
          <w:szCs w:val="22"/>
        </w:rPr>
        <w:t>Numerator:</w:t>
      </w:r>
      <w:r w:rsidRPr="00D71169">
        <w:rPr>
          <w:rFonts w:asciiTheme="majorHAnsi" w:hAnsiTheme="majorHAnsi" w:cstheme="majorHAnsi"/>
          <w:sz w:val="22"/>
          <w:szCs w:val="22"/>
        </w:rPr>
        <w:t xml:space="preserve"> Number of CTE </w:t>
      </w:r>
      <w:r w:rsidRPr="00D71169">
        <w:rPr>
          <w:rFonts w:asciiTheme="majorHAnsi" w:hAnsiTheme="majorHAnsi" w:cstheme="majorHAnsi"/>
          <w:sz w:val="22"/>
          <w:szCs w:val="22"/>
          <w:u w:val="single"/>
        </w:rPr>
        <w:t>concentrators</w:t>
      </w:r>
      <w:r w:rsidRPr="00D71169">
        <w:rPr>
          <w:rFonts w:asciiTheme="majorHAnsi" w:hAnsiTheme="majorHAnsi" w:cstheme="majorHAnsi"/>
          <w:sz w:val="22"/>
          <w:szCs w:val="22"/>
        </w:rPr>
        <w:t xml:space="preserve"> who were enrolled in a CTE program during the reporting year who also attained an industry-recognized credential, certificate or degree. </w:t>
      </w:r>
    </w:p>
    <w:p w:rsidR="000F30D4" w:rsidRPr="00D71169" w:rsidRDefault="000F30D4" w:rsidP="000F30D4">
      <w:pPr>
        <w:tabs>
          <w:tab w:val="left" w:pos="360"/>
          <w:tab w:val="left" w:pos="1170"/>
        </w:tabs>
        <w:ind w:left="360"/>
        <w:rPr>
          <w:rFonts w:asciiTheme="majorHAnsi" w:hAnsiTheme="majorHAnsi" w:cstheme="majorHAnsi"/>
          <w:sz w:val="22"/>
          <w:szCs w:val="22"/>
        </w:rPr>
      </w:pPr>
      <w:r w:rsidRPr="00D71169">
        <w:rPr>
          <w:rFonts w:asciiTheme="majorHAnsi" w:hAnsiTheme="majorHAnsi" w:cstheme="majorHAnsi"/>
          <w:i/>
          <w:iCs/>
          <w:sz w:val="22"/>
          <w:szCs w:val="22"/>
        </w:rPr>
        <w:t>Denominator:</w:t>
      </w:r>
      <w:r w:rsidRPr="00D71169">
        <w:rPr>
          <w:rFonts w:asciiTheme="majorHAnsi" w:hAnsiTheme="majorHAnsi" w:cstheme="majorHAnsi"/>
          <w:sz w:val="22"/>
          <w:szCs w:val="22"/>
        </w:rPr>
        <w:t xml:space="preserve"> Number of CTE </w:t>
      </w:r>
      <w:r w:rsidRPr="00D71169">
        <w:rPr>
          <w:rFonts w:asciiTheme="majorHAnsi" w:hAnsiTheme="majorHAnsi" w:cstheme="majorHAnsi"/>
          <w:sz w:val="22"/>
          <w:szCs w:val="22"/>
          <w:u w:val="single"/>
        </w:rPr>
        <w:t>concentrators</w:t>
      </w:r>
      <w:r w:rsidRPr="00D71169">
        <w:rPr>
          <w:rFonts w:asciiTheme="majorHAnsi" w:hAnsiTheme="majorHAnsi" w:cstheme="majorHAnsi"/>
          <w:sz w:val="22"/>
          <w:szCs w:val="22"/>
        </w:rPr>
        <w:t xml:space="preserve"> who were enrolled in a CTE program during the reporting year. </w:t>
      </w:r>
    </w:p>
    <w:p w:rsidR="000F30D4" w:rsidRPr="00AC6D65" w:rsidRDefault="000F30D4" w:rsidP="000F30D4">
      <w:pPr>
        <w:ind w:left="1170"/>
        <w:rPr>
          <w:rFonts w:asciiTheme="majorHAnsi" w:hAnsiTheme="majorHAnsi" w:cstheme="majorHAnsi"/>
          <w:sz w:val="22"/>
          <w:szCs w:val="22"/>
        </w:rPr>
      </w:pPr>
    </w:p>
    <w:p w:rsidR="000F30D4" w:rsidRPr="00AC6D65" w:rsidRDefault="000F30D4" w:rsidP="000F30D4">
      <w:pPr>
        <w:pStyle w:val="NormalWeb"/>
        <w:tabs>
          <w:tab w:val="left" w:pos="360"/>
          <w:tab w:val="left" w:pos="1170"/>
        </w:tabs>
        <w:spacing w:before="0" w:beforeAutospacing="0" w:after="0" w:afterAutospacing="0"/>
        <w:ind w:left="360"/>
        <w:rPr>
          <w:rFonts w:asciiTheme="majorHAnsi" w:hAnsiTheme="majorHAnsi" w:cstheme="majorHAnsi"/>
          <w:b/>
          <w:bCs/>
          <w:color w:val="000000"/>
          <w:sz w:val="22"/>
          <w:szCs w:val="22"/>
        </w:rPr>
      </w:pPr>
      <w:r w:rsidRPr="00AC6D65">
        <w:rPr>
          <w:rFonts w:asciiTheme="majorHAnsi" w:hAnsiTheme="majorHAnsi" w:cstheme="majorHAnsi"/>
          <w:b/>
          <w:bCs/>
          <w:color w:val="000000"/>
          <w:sz w:val="22"/>
          <w:szCs w:val="22"/>
        </w:rPr>
        <w:t>3P1 – Nontraditional Enrollment</w:t>
      </w:r>
    </w:p>
    <w:p w:rsidR="000F30D4" w:rsidRPr="00AC6D65" w:rsidRDefault="000F30D4" w:rsidP="000F30D4">
      <w:pPr>
        <w:pStyle w:val="NormalWeb"/>
        <w:tabs>
          <w:tab w:val="left" w:pos="360"/>
          <w:tab w:val="left" w:pos="1170"/>
        </w:tabs>
        <w:spacing w:before="0" w:beforeAutospacing="0" w:after="0" w:afterAutospacing="0"/>
        <w:ind w:left="360"/>
        <w:rPr>
          <w:rFonts w:asciiTheme="majorHAnsi" w:hAnsiTheme="majorHAnsi" w:cstheme="majorHAnsi"/>
          <w:b/>
          <w:bCs/>
          <w:color w:val="000000"/>
          <w:sz w:val="22"/>
          <w:szCs w:val="22"/>
        </w:rPr>
      </w:pPr>
    </w:p>
    <w:p w:rsidR="000F30D4" w:rsidRPr="00AC6D65" w:rsidRDefault="000F30D4" w:rsidP="000F30D4">
      <w:pPr>
        <w:tabs>
          <w:tab w:val="left" w:pos="1170"/>
        </w:tabs>
        <w:ind w:left="360"/>
        <w:rPr>
          <w:rFonts w:asciiTheme="majorHAnsi" w:hAnsiTheme="majorHAnsi" w:cstheme="majorHAnsi"/>
          <w:b/>
          <w:bCs/>
          <w:sz w:val="22"/>
          <w:szCs w:val="22"/>
        </w:rPr>
      </w:pPr>
      <w:r w:rsidRPr="00AC6D65">
        <w:rPr>
          <w:rFonts w:asciiTheme="majorHAnsi" w:hAnsiTheme="majorHAnsi" w:cstheme="majorHAnsi"/>
          <w:b/>
          <w:bCs/>
          <w:sz w:val="22"/>
          <w:szCs w:val="22"/>
        </w:rPr>
        <w:t>Proposed Level of Performance</w:t>
      </w:r>
      <w:r>
        <w:rPr>
          <w:rFonts w:asciiTheme="majorHAnsi" w:hAnsiTheme="majorHAnsi" w:cstheme="majorHAnsi"/>
          <w:b/>
          <w:bCs/>
          <w:sz w:val="22"/>
          <w:szCs w:val="22"/>
        </w:rPr>
        <w:t xml:space="preserve"> by ADE</w:t>
      </w:r>
    </w:p>
    <w:tbl>
      <w:tblPr>
        <w:tblpPr w:leftFromText="180" w:rightFromText="180" w:vertAnchor="text" w:horzAnchor="page" w:tblpX="1560" w:tblpY="15"/>
        <w:tblW w:w="0" w:type="auto"/>
        <w:tblCellMar>
          <w:top w:w="15" w:type="dxa"/>
          <w:left w:w="15" w:type="dxa"/>
          <w:bottom w:w="15" w:type="dxa"/>
          <w:right w:w="15" w:type="dxa"/>
        </w:tblCellMar>
        <w:tblLook w:val="04A0" w:firstRow="1" w:lastRow="0" w:firstColumn="1" w:lastColumn="0" w:noHBand="0" w:noVBand="1"/>
      </w:tblPr>
      <w:tblGrid>
        <w:gridCol w:w="983"/>
        <w:gridCol w:w="933"/>
        <w:gridCol w:w="933"/>
        <w:gridCol w:w="933"/>
      </w:tblGrid>
      <w:tr w:rsidR="000F30D4" w:rsidRPr="00D71169" w:rsidTr="006210CA">
        <w:trPr>
          <w:trHeight w:val="28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F30D4" w:rsidRPr="00D71169" w:rsidRDefault="000F30D4" w:rsidP="006210CA">
            <w:pPr>
              <w:jc w:val="center"/>
              <w:rPr>
                <w:rFonts w:asciiTheme="majorHAnsi" w:hAnsiTheme="majorHAnsi" w:cstheme="majorHAnsi"/>
                <w:sz w:val="22"/>
                <w:szCs w:val="22"/>
              </w:rPr>
            </w:pPr>
            <w:r w:rsidRPr="00D71169">
              <w:rPr>
                <w:rFonts w:asciiTheme="majorHAnsi" w:hAnsiTheme="majorHAnsi" w:cstheme="majorHAnsi"/>
                <w:b/>
                <w:bCs/>
                <w:sz w:val="22"/>
                <w:szCs w:val="22"/>
              </w:rPr>
              <w:t>SY19-20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F30D4" w:rsidRPr="00D71169" w:rsidRDefault="000F30D4" w:rsidP="006210CA">
            <w:pPr>
              <w:jc w:val="center"/>
              <w:rPr>
                <w:rFonts w:asciiTheme="majorHAnsi" w:hAnsiTheme="majorHAnsi" w:cstheme="majorHAnsi"/>
                <w:sz w:val="22"/>
                <w:szCs w:val="22"/>
              </w:rPr>
            </w:pPr>
            <w:r w:rsidRPr="00D71169">
              <w:rPr>
                <w:rFonts w:asciiTheme="majorHAnsi" w:hAnsiTheme="majorHAnsi" w:cstheme="majorHAnsi"/>
                <w:b/>
                <w:bCs/>
                <w:sz w:val="22"/>
                <w:szCs w:val="22"/>
              </w:rPr>
              <w:t>SY20-21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F30D4" w:rsidRPr="00D71169" w:rsidRDefault="000F30D4" w:rsidP="006210CA">
            <w:pPr>
              <w:jc w:val="center"/>
              <w:rPr>
                <w:rFonts w:asciiTheme="majorHAnsi" w:hAnsiTheme="majorHAnsi" w:cstheme="majorHAnsi"/>
                <w:sz w:val="22"/>
                <w:szCs w:val="22"/>
              </w:rPr>
            </w:pPr>
            <w:r w:rsidRPr="00D71169">
              <w:rPr>
                <w:rFonts w:asciiTheme="majorHAnsi" w:hAnsiTheme="majorHAnsi" w:cstheme="majorHAnsi"/>
                <w:b/>
                <w:bCs/>
                <w:sz w:val="22"/>
                <w:szCs w:val="22"/>
              </w:rPr>
              <w:t>SY21-22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F30D4" w:rsidRPr="00D71169" w:rsidRDefault="000F30D4" w:rsidP="006210CA">
            <w:pPr>
              <w:jc w:val="center"/>
              <w:rPr>
                <w:rFonts w:asciiTheme="majorHAnsi" w:hAnsiTheme="majorHAnsi" w:cstheme="majorHAnsi"/>
                <w:sz w:val="22"/>
                <w:szCs w:val="22"/>
              </w:rPr>
            </w:pPr>
            <w:r w:rsidRPr="00D71169">
              <w:rPr>
                <w:rFonts w:asciiTheme="majorHAnsi" w:hAnsiTheme="majorHAnsi" w:cstheme="majorHAnsi"/>
                <w:b/>
                <w:bCs/>
                <w:sz w:val="22"/>
                <w:szCs w:val="22"/>
              </w:rPr>
              <w:t>SY22-23</w:t>
            </w:r>
          </w:p>
        </w:tc>
      </w:tr>
      <w:tr w:rsidR="000F30D4" w:rsidRPr="00D71169" w:rsidTr="006210C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F30D4" w:rsidRPr="00D71169" w:rsidRDefault="000F30D4" w:rsidP="006210CA">
            <w:pPr>
              <w:jc w:val="center"/>
              <w:rPr>
                <w:rFonts w:asciiTheme="majorHAnsi" w:hAnsiTheme="majorHAnsi" w:cstheme="majorHAnsi"/>
                <w:sz w:val="22"/>
                <w:szCs w:val="22"/>
              </w:rPr>
            </w:pPr>
            <w:r w:rsidRPr="00AC6D65">
              <w:rPr>
                <w:rFonts w:asciiTheme="majorHAnsi" w:hAnsiTheme="majorHAnsi" w:cstheme="majorHAnsi"/>
                <w:sz w:val="22"/>
                <w:szCs w:val="22"/>
              </w:rPr>
              <w:t>22</w:t>
            </w:r>
            <w:r w:rsidRPr="00D71169">
              <w:rPr>
                <w:rFonts w:asciiTheme="majorHAnsi" w:hAnsiTheme="majorHAnsi" w:cstheme="majorHAnsi"/>
                <w:sz w:val="22"/>
                <w:szCs w:val="22"/>
              </w:rPr>
              <w:t>.00%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F30D4" w:rsidRPr="00D71169" w:rsidRDefault="000F30D4" w:rsidP="006210CA">
            <w:pPr>
              <w:jc w:val="center"/>
              <w:rPr>
                <w:rFonts w:asciiTheme="majorHAnsi" w:hAnsiTheme="majorHAnsi" w:cstheme="majorHAnsi"/>
                <w:sz w:val="22"/>
                <w:szCs w:val="22"/>
              </w:rPr>
            </w:pPr>
            <w:r w:rsidRPr="00AC6D65">
              <w:rPr>
                <w:rFonts w:asciiTheme="majorHAnsi" w:hAnsiTheme="majorHAnsi" w:cstheme="majorHAnsi"/>
                <w:sz w:val="22"/>
                <w:szCs w:val="22"/>
              </w:rPr>
              <w:t>22</w:t>
            </w:r>
            <w:r w:rsidRPr="00D71169">
              <w:rPr>
                <w:rFonts w:asciiTheme="majorHAnsi" w:hAnsiTheme="majorHAnsi" w:cstheme="majorHAnsi"/>
                <w:sz w:val="22"/>
                <w:szCs w:val="22"/>
              </w:rPr>
              <w:t>.25%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F30D4" w:rsidRPr="00D71169" w:rsidRDefault="000F30D4" w:rsidP="006210CA">
            <w:pPr>
              <w:jc w:val="center"/>
              <w:rPr>
                <w:rFonts w:asciiTheme="majorHAnsi" w:hAnsiTheme="majorHAnsi" w:cstheme="majorHAnsi"/>
                <w:sz w:val="22"/>
                <w:szCs w:val="22"/>
              </w:rPr>
            </w:pPr>
            <w:r w:rsidRPr="00AC6D65">
              <w:rPr>
                <w:rFonts w:asciiTheme="majorHAnsi" w:hAnsiTheme="majorHAnsi" w:cstheme="majorHAnsi"/>
                <w:sz w:val="22"/>
                <w:szCs w:val="22"/>
              </w:rPr>
              <w:t>22</w:t>
            </w:r>
            <w:r w:rsidRPr="00D71169">
              <w:rPr>
                <w:rFonts w:asciiTheme="majorHAnsi" w:hAnsiTheme="majorHAnsi" w:cstheme="majorHAnsi"/>
                <w:sz w:val="22"/>
                <w:szCs w:val="22"/>
              </w:rPr>
              <w:t>.50%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F30D4" w:rsidRPr="00D71169" w:rsidRDefault="000F30D4" w:rsidP="006210CA">
            <w:pPr>
              <w:jc w:val="center"/>
              <w:rPr>
                <w:rFonts w:asciiTheme="majorHAnsi" w:hAnsiTheme="majorHAnsi" w:cstheme="majorHAnsi"/>
                <w:sz w:val="22"/>
                <w:szCs w:val="22"/>
              </w:rPr>
            </w:pPr>
            <w:r w:rsidRPr="00AC6D65">
              <w:rPr>
                <w:rFonts w:asciiTheme="majorHAnsi" w:hAnsiTheme="majorHAnsi" w:cstheme="majorHAnsi"/>
                <w:sz w:val="22"/>
                <w:szCs w:val="22"/>
              </w:rPr>
              <w:t>22</w:t>
            </w:r>
            <w:r w:rsidRPr="00D71169">
              <w:rPr>
                <w:rFonts w:asciiTheme="majorHAnsi" w:hAnsiTheme="majorHAnsi" w:cstheme="majorHAnsi"/>
                <w:sz w:val="22"/>
                <w:szCs w:val="22"/>
              </w:rPr>
              <w:t>.75%</w:t>
            </w:r>
          </w:p>
        </w:tc>
      </w:tr>
    </w:tbl>
    <w:p w:rsidR="000F30D4" w:rsidRPr="00D71169" w:rsidRDefault="000F30D4" w:rsidP="000F30D4">
      <w:pPr>
        <w:tabs>
          <w:tab w:val="left" w:pos="360"/>
          <w:tab w:val="left" w:pos="1170"/>
        </w:tabs>
        <w:ind w:left="360"/>
        <w:rPr>
          <w:rFonts w:asciiTheme="majorHAnsi" w:hAnsiTheme="majorHAnsi" w:cstheme="majorHAnsi"/>
          <w:sz w:val="22"/>
          <w:szCs w:val="22"/>
        </w:rPr>
      </w:pPr>
    </w:p>
    <w:p w:rsidR="000F30D4" w:rsidRPr="00AC6D65" w:rsidRDefault="000F30D4" w:rsidP="000F30D4">
      <w:pPr>
        <w:tabs>
          <w:tab w:val="left" w:pos="360"/>
          <w:tab w:val="left" w:pos="1170"/>
        </w:tabs>
        <w:ind w:left="360"/>
        <w:rPr>
          <w:rFonts w:asciiTheme="majorHAnsi" w:hAnsiTheme="majorHAnsi" w:cstheme="majorHAnsi"/>
          <w:i/>
          <w:iCs/>
          <w:sz w:val="22"/>
          <w:szCs w:val="22"/>
        </w:rPr>
      </w:pPr>
    </w:p>
    <w:p w:rsidR="000F30D4" w:rsidRPr="00AC6D65" w:rsidRDefault="000F30D4" w:rsidP="000F30D4">
      <w:pPr>
        <w:pStyle w:val="NormalWeb"/>
        <w:tabs>
          <w:tab w:val="left" w:pos="360"/>
          <w:tab w:val="left" w:pos="1170"/>
        </w:tabs>
        <w:spacing w:before="0" w:beforeAutospacing="0" w:after="0" w:afterAutospacing="0"/>
        <w:ind w:left="360"/>
        <w:rPr>
          <w:rFonts w:asciiTheme="majorHAnsi" w:hAnsiTheme="majorHAnsi" w:cstheme="majorHAnsi"/>
          <w:sz w:val="22"/>
          <w:szCs w:val="22"/>
        </w:rPr>
      </w:pPr>
    </w:p>
    <w:p w:rsidR="000F30D4" w:rsidRPr="00D71169" w:rsidRDefault="000F30D4" w:rsidP="000F30D4">
      <w:pPr>
        <w:tabs>
          <w:tab w:val="left" w:pos="360"/>
          <w:tab w:val="left" w:pos="1170"/>
        </w:tabs>
        <w:ind w:left="360"/>
        <w:rPr>
          <w:rFonts w:asciiTheme="majorHAnsi" w:hAnsiTheme="majorHAnsi" w:cstheme="majorHAnsi"/>
          <w:sz w:val="22"/>
          <w:szCs w:val="22"/>
        </w:rPr>
      </w:pPr>
      <w:r w:rsidRPr="00D71169">
        <w:rPr>
          <w:rFonts w:asciiTheme="majorHAnsi" w:hAnsiTheme="majorHAnsi" w:cstheme="majorHAnsi"/>
          <w:i/>
          <w:iCs/>
          <w:sz w:val="22"/>
          <w:szCs w:val="22"/>
        </w:rPr>
        <w:t>Numerator:</w:t>
      </w:r>
      <w:r w:rsidRPr="00D71169">
        <w:rPr>
          <w:rFonts w:asciiTheme="majorHAnsi" w:hAnsiTheme="majorHAnsi" w:cstheme="majorHAnsi"/>
          <w:sz w:val="22"/>
          <w:szCs w:val="22"/>
        </w:rPr>
        <w:t xml:space="preserve"> Number of nontraditional CTE </w:t>
      </w:r>
      <w:r w:rsidRPr="00D71169">
        <w:rPr>
          <w:rFonts w:asciiTheme="majorHAnsi" w:hAnsiTheme="majorHAnsi" w:cstheme="majorHAnsi"/>
          <w:sz w:val="22"/>
          <w:szCs w:val="22"/>
          <w:u w:val="single"/>
        </w:rPr>
        <w:t>concentrators</w:t>
      </w:r>
      <w:r w:rsidRPr="00D71169">
        <w:rPr>
          <w:rFonts w:asciiTheme="majorHAnsi" w:hAnsiTheme="majorHAnsi" w:cstheme="majorHAnsi"/>
          <w:sz w:val="22"/>
          <w:szCs w:val="22"/>
        </w:rPr>
        <w:t xml:space="preserve"> enrolled in a nontraditional program in the reporting year.</w:t>
      </w:r>
    </w:p>
    <w:p w:rsidR="000F30D4" w:rsidRPr="00D71169" w:rsidRDefault="000F30D4" w:rsidP="000F30D4">
      <w:pPr>
        <w:tabs>
          <w:tab w:val="left" w:pos="360"/>
          <w:tab w:val="left" w:pos="1170"/>
        </w:tabs>
        <w:ind w:left="360"/>
        <w:rPr>
          <w:rFonts w:asciiTheme="majorHAnsi" w:hAnsiTheme="majorHAnsi" w:cstheme="majorHAnsi"/>
          <w:sz w:val="22"/>
          <w:szCs w:val="22"/>
        </w:rPr>
      </w:pPr>
      <w:r w:rsidRPr="00D71169">
        <w:rPr>
          <w:rFonts w:asciiTheme="majorHAnsi" w:hAnsiTheme="majorHAnsi" w:cstheme="majorHAnsi"/>
          <w:i/>
          <w:iCs/>
          <w:sz w:val="22"/>
          <w:szCs w:val="22"/>
        </w:rPr>
        <w:t>Denominator:</w:t>
      </w:r>
      <w:r w:rsidRPr="00D71169">
        <w:rPr>
          <w:rFonts w:asciiTheme="majorHAnsi" w:hAnsiTheme="majorHAnsi" w:cstheme="majorHAnsi"/>
          <w:sz w:val="22"/>
          <w:szCs w:val="22"/>
        </w:rPr>
        <w:t xml:space="preserve"> Number of CTE </w:t>
      </w:r>
      <w:r w:rsidRPr="00D71169">
        <w:rPr>
          <w:rFonts w:asciiTheme="majorHAnsi" w:hAnsiTheme="majorHAnsi" w:cstheme="majorHAnsi"/>
          <w:sz w:val="22"/>
          <w:szCs w:val="22"/>
          <w:u w:val="single"/>
        </w:rPr>
        <w:t>concentrators</w:t>
      </w:r>
      <w:r w:rsidRPr="00D71169">
        <w:rPr>
          <w:rFonts w:asciiTheme="majorHAnsi" w:hAnsiTheme="majorHAnsi" w:cstheme="majorHAnsi"/>
          <w:sz w:val="22"/>
          <w:szCs w:val="22"/>
        </w:rPr>
        <w:t xml:space="preserve"> enrolled in a nontraditional program in the reporting year. </w:t>
      </w:r>
    </w:p>
    <w:p w:rsidR="000E7748" w:rsidRDefault="00303D69"/>
    <w:sectPr w:rsidR="000E7748" w:rsidSect="00C56E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A5DA8"/>
    <w:multiLevelType w:val="multilevel"/>
    <w:tmpl w:val="68C24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DF0B4C"/>
    <w:multiLevelType w:val="hybridMultilevel"/>
    <w:tmpl w:val="3D9AA25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BB0750"/>
    <w:multiLevelType w:val="multilevel"/>
    <w:tmpl w:val="5DDEA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03D6092"/>
    <w:multiLevelType w:val="hybridMultilevel"/>
    <w:tmpl w:val="C1EC03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0D4"/>
    <w:rsid w:val="000F30D4"/>
    <w:rsid w:val="001A4E4C"/>
    <w:rsid w:val="00303D69"/>
    <w:rsid w:val="004746B5"/>
    <w:rsid w:val="00AC77EA"/>
    <w:rsid w:val="00C56E20"/>
    <w:rsid w:val="00D46F3E"/>
    <w:rsid w:val="00FD5E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5E4F066"/>
  <w14:defaultImageDpi w14:val="32767"/>
  <w15:chartTrackingRefBased/>
  <w15:docId w15:val="{779B4B5E-75F9-024B-8EA8-EBB40D744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F30D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30D4"/>
    <w:rPr>
      <w:color w:val="0563C1" w:themeColor="hyperlink"/>
      <w:u w:val="single"/>
    </w:rPr>
  </w:style>
  <w:style w:type="paragraph" w:styleId="NormalWeb">
    <w:name w:val="Normal (Web)"/>
    <w:basedOn w:val="Normal"/>
    <w:uiPriority w:val="99"/>
    <w:unhideWhenUsed/>
    <w:rsid w:val="000F30D4"/>
    <w:pPr>
      <w:spacing w:before="100" w:beforeAutospacing="1" w:after="100" w:afterAutospacing="1"/>
    </w:pPr>
  </w:style>
  <w:style w:type="paragraph" w:styleId="ListParagraph">
    <w:name w:val="List Paragraph"/>
    <w:basedOn w:val="Normal"/>
    <w:uiPriority w:val="34"/>
    <w:qFormat/>
    <w:rsid w:val="000F30D4"/>
    <w:pPr>
      <w:ind w:left="720"/>
      <w:contextualSpacing/>
    </w:pPr>
  </w:style>
  <w:style w:type="character" w:styleId="FollowedHyperlink">
    <w:name w:val="FollowedHyperlink"/>
    <w:basedOn w:val="DefaultParagraphFont"/>
    <w:uiPriority w:val="99"/>
    <w:semiHidden/>
    <w:unhideWhenUsed/>
    <w:rsid w:val="000F30D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te.ed.gov/legislation/perkins-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559</Words>
  <Characters>3188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2020-04-03T02:18:00Z</dcterms:created>
  <dcterms:modified xsi:type="dcterms:W3CDTF">2020-04-03T02:52:00Z</dcterms:modified>
</cp:coreProperties>
</file>